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43DF52">
      <w:pPr>
        <w:spacing w:after="312" w:afterLines="100"/>
        <w:jc w:val="center"/>
        <w:rPr>
          <w:rFonts w:ascii="Times New Roman" w:hAnsi="Times New Roman" w:cs="Times New Roman"/>
          <w:b/>
          <w:bCs/>
          <w:sz w:val="36"/>
          <w:szCs w:val="32"/>
        </w:rPr>
      </w:pPr>
      <w:r>
        <w:rPr>
          <w:rFonts w:ascii="Times New Roman" w:hAnsi="Times New Roman" w:cs="Times New Roman"/>
          <w:b/>
          <w:bCs/>
          <w:sz w:val="36"/>
          <w:szCs w:val="32"/>
        </w:rPr>
        <w:t>江苏开放大学</w:t>
      </w:r>
      <w:r>
        <w:rPr>
          <w:rFonts w:hint="eastAsia" w:ascii="Times New Roman" w:hAnsi="Times New Roman" w:cs="Times New Roman"/>
          <w:b/>
          <w:bCs/>
          <w:sz w:val="36"/>
          <w:szCs w:val="32"/>
        </w:rPr>
        <w:t>新增</w:t>
      </w:r>
      <w:r>
        <w:rPr>
          <w:rFonts w:ascii="Times New Roman" w:hAnsi="Times New Roman" w:cs="Times New Roman"/>
          <w:b/>
          <w:bCs/>
          <w:sz w:val="36"/>
          <w:szCs w:val="32"/>
        </w:rPr>
        <w:t>学士学位授权</w:t>
      </w:r>
      <w:r>
        <w:rPr>
          <w:rFonts w:hint="eastAsia" w:ascii="Times New Roman" w:hAnsi="Times New Roman" w:cs="Times New Roman"/>
          <w:b/>
          <w:bCs/>
          <w:sz w:val="36"/>
          <w:szCs w:val="32"/>
        </w:rPr>
        <w:t>专业审核自评得分表</w:t>
      </w:r>
    </w:p>
    <w:tbl>
      <w:tblPr>
        <w:tblStyle w:val="7"/>
        <w:tblW w:w="142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687"/>
        <w:gridCol w:w="7952"/>
        <w:gridCol w:w="992"/>
        <w:gridCol w:w="992"/>
        <w:gridCol w:w="851"/>
        <w:gridCol w:w="884"/>
      </w:tblGrid>
      <w:tr w14:paraId="021807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846" w:type="dxa"/>
            <w:shd w:val="clear" w:color="auto" w:fill="D8D8D8" w:themeFill="background1" w:themeFillShade="D9"/>
            <w:vAlign w:val="center"/>
          </w:tcPr>
          <w:p w14:paraId="3841EDD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一级</w:t>
            </w:r>
          </w:p>
          <w:p w14:paraId="4399D4D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指标</w:t>
            </w:r>
          </w:p>
        </w:tc>
        <w:tc>
          <w:tcPr>
            <w:tcW w:w="1687" w:type="dxa"/>
            <w:shd w:val="clear" w:color="auto" w:fill="D8D8D8" w:themeFill="background1" w:themeFillShade="D9"/>
            <w:vAlign w:val="center"/>
          </w:tcPr>
          <w:p w14:paraId="5C01056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二级</w:t>
            </w:r>
          </w:p>
          <w:p w14:paraId="7F878FE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指标</w:t>
            </w:r>
          </w:p>
        </w:tc>
        <w:tc>
          <w:tcPr>
            <w:tcW w:w="7952" w:type="dxa"/>
            <w:shd w:val="clear" w:color="auto" w:fill="D8D8D8" w:themeFill="background1" w:themeFillShade="D9"/>
            <w:vAlign w:val="center"/>
          </w:tcPr>
          <w:p w14:paraId="0EA9640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4"/>
              </w:rPr>
              <w:t>评审内容与标准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136FD80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  <w:t>二级指标满分</w:t>
            </w:r>
          </w:p>
        </w:tc>
        <w:tc>
          <w:tcPr>
            <w:tcW w:w="992" w:type="dxa"/>
            <w:shd w:val="clear" w:color="auto" w:fill="D8D8D8" w:themeFill="background1" w:themeFillShade="D9"/>
            <w:vAlign w:val="center"/>
          </w:tcPr>
          <w:p w14:paraId="3B16E82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  <w:t>二级指标自评得分</w:t>
            </w:r>
          </w:p>
        </w:tc>
        <w:tc>
          <w:tcPr>
            <w:tcW w:w="851" w:type="dxa"/>
            <w:shd w:val="clear" w:color="auto" w:fill="D8D8D8" w:themeFill="background1" w:themeFillShade="D9"/>
            <w:vAlign w:val="center"/>
          </w:tcPr>
          <w:p w14:paraId="44BF832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  <w:t>一级指标满分</w:t>
            </w:r>
          </w:p>
        </w:tc>
        <w:tc>
          <w:tcPr>
            <w:tcW w:w="884" w:type="dxa"/>
            <w:shd w:val="clear" w:color="auto" w:fill="D8D8D8" w:themeFill="background1" w:themeFillShade="D9"/>
            <w:vAlign w:val="center"/>
          </w:tcPr>
          <w:p w14:paraId="52A9455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4"/>
              </w:rPr>
              <w:t>一级指标自评得分</w:t>
            </w:r>
          </w:p>
        </w:tc>
      </w:tr>
      <w:tr w14:paraId="5A580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  <w:jc w:val="center"/>
        </w:trPr>
        <w:tc>
          <w:tcPr>
            <w:tcW w:w="846" w:type="dxa"/>
            <w:vMerge w:val="restart"/>
            <w:vAlign w:val="center"/>
          </w:tcPr>
          <w:p w14:paraId="51E503B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  <w:p w14:paraId="31E31BD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  <w:p w14:paraId="6911389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  <w:p w14:paraId="725FA03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  <w:p w14:paraId="63E2D09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  <w:p w14:paraId="734668B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1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6F2BA23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both"/>
              <w:textAlignment w:val="auto"/>
              <w:rPr>
                <w:rFonts w:ascii="Times New Roman" w:hAnsi="Times New Roman" w:cs="Times New Roman" w:eastAsiaTheme="minorEastAsia"/>
                <w:b/>
                <w:bCs/>
                <w:spacing w:val="-4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pacing w:val="-4"/>
                <w:sz w:val="28"/>
                <w:szCs w:val="28"/>
              </w:rPr>
              <w:t>专业</w:t>
            </w:r>
          </w:p>
          <w:p w14:paraId="6EEF1A2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pacing w:val="-4"/>
                <w:sz w:val="28"/>
                <w:szCs w:val="28"/>
              </w:rPr>
              <w:t>定位</w:t>
            </w:r>
          </w:p>
          <w:p w14:paraId="769BEC7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740E7BC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503DA8D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0679821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1.1</w:t>
            </w:r>
          </w:p>
          <w:p w14:paraId="65CA771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办学方向</w:t>
            </w:r>
          </w:p>
        </w:tc>
        <w:tc>
          <w:tcPr>
            <w:tcW w:w="7952" w:type="dxa"/>
            <w:vAlign w:val="center"/>
          </w:tcPr>
          <w:p w14:paraId="2346F3E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坚持社会主义办学方向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7407191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734FD6A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4F5A681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0</w:t>
            </w:r>
          </w:p>
        </w:tc>
        <w:tc>
          <w:tcPr>
            <w:tcW w:w="884" w:type="dxa"/>
            <w:vMerge w:val="restart"/>
            <w:vAlign w:val="center"/>
          </w:tcPr>
          <w:p w14:paraId="54078E1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1631A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46" w:type="dxa"/>
            <w:vMerge w:val="continue"/>
            <w:vAlign w:val="center"/>
          </w:tcPr>
          <w:p w14:paraId="5F5BD5A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3A13DF3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.2</w:t>
            </w:r>
          </w:p>
          <w:p w14:paraId="21CAD8D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人才培养</w:t>
            </w:r>
          </w:p>
          <w:p w14:paraId="61214A4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目标</w:t>
            </w:r>
          </w:p>
        </w:tc>
        <w:tc>
          <w:tcPr>
            <w:tcW w:w="7952" w:type="dxa"/>
            <w:vAlign w:val="center"/>
          </w:tcPr>
          <w:p w14:paraId="552C60D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人才培养类型和目标明确。</w:t>
            </w:r>
          </w:p>
        </w:tc>
        <w:tc>
          <w:tcPr>
            <w:tcW w:w="992" w:type="dxa"/>
            <w:vAlign w:val="center"/>
          </w:tcPr>
          <w:p w14:paraId="228CBF8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C9D3FB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07A231D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745FB1B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16BBB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8" w:hRule="atLeast"/>
          <w:jc w:val="center"/>
        </w:trPr>
        <w:tc>
          <w:tcPr>
            <w:tcW w:w="846" w:type="dxa"/>
            <w:vMerge w:val="continue"/>
            <w:vAlign w:val="center"/>
          </w:tcPr>
          <w:p w14:paraId="3D250DE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76A5DDB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1.3</w:t>
            </w:r>
          </w:p>
          <w:p w14:paraId="519363B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专业规划与建设措施</w:t>
            </w:r>
          </w:p>
        </w:tc>
        <w:tc>
          <w:tcPr>
            <w:tcW w:w="7952" w:type="dxa"/>
            <w:vAlign w:val="center"/>
          </w:tcPr>
          <w:p w14:paraId="2A20258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专业建设规划科学合理，符合自身办学条件、学校特色和社会需求，能有效指导专业建设；</w:t>
            </w:r>
          </w:p>
          <w:p w14:paraId="2E4B5AB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专业设置满足社会需要，建立以需求为导向的专业设置动态调整机制；</w:t>
            </w:r>
          </w:p>
          <w:p w14:paraId="1E64FC3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专业建设有保障、有措施。</w:t>
            </w:r>
          </w:p>
        </w:tc>
        <w:tc>
          <w:tcPr>
            <w:tcW w:w="992" w:type="dxa"/>
            <w:vAlign w:val="center"/>
          </w:tcPr>
          <w:p w14:paraId="232C54D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76BFC94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36993E0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2FEC491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7D2EB1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846" w:type="dxa"/>
            <w:vMerge w:val="continue"/>
            <w:vAlign w:val="center"/>
          </w:tcPr>
          <w:p w14:paraId="1198743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2BF839C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1.4</w:t>
            </w:r>
          </w:p>
          <w:p w14:paraId="20AF924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专业特色</w:t>
            </w:r>
          </w:p>
        </w:tc>
        <w:tc>
          <w:tcPr>
            <w:tcW w:w="7952" w:type="dxa"/>
            <w:vAlign w:val="center"/>
          </w:tcPr>
          <w:p w14:paraId="0A8BE3B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专业定位准确，特色显著，与国内、省内其他学校同类专业相比具有一定优势与特色。</w:t>
            </w:r>
          </w:p>
        </w:tc>
        <w:tc>
          <w:tcPr>
            <w:tcW w:w="992" w:type="dxa"/>
            <w:vAlign w:val="center"/>
          </w:tcPr>
          <w:p w14:paraId="33ABE49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646D00B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44C07AF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273A287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47C564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6" w:hRule="atLeast"/>
          <w:jc w:val="center"/>
        </w:trPr>
        <w:tc>
          <w:tcPr>
            <w:tcW w:w="846" w:type="dxa"/>
            <w:vMerge w:val="restart"/>
            <w:vAlign w:val="center"/>
          </w:tcPr>
          <w:p w14:paraId="5E28777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517CEEA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师资</w:t>
            </w:r>
          </w:p>
          <w:p w14:paraId="3EB541F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队伍</w:t>
            </w:r>
          </w:p>
        </w:tc>
        <w:tc>
          <w:tcPr>
            <w:tcW w:w="1687" w:type="dxa"/>
            <w:vAlign w:val="center"/>
          </w:tcPr>
          <w:p w14:paraId="3E4F44C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2.1</w:t>
            </w:r>
          </w:p>
          <w:p w14:paraId="4AB01F4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专业</w:t>
            </w: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带头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人</w:t>
            </w:r>
          </w:p>
        </w:tc>
        <w:tc>
          <w:tcPr>
            <w:tcW w:w="7952" w:type="dxa"/>
            <w:vAlign w:val="center"/>
          </w:tcPr>
          <w:p w14:paraId="5E760EF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专业带头人有较高的学术造诣或专业服务的行业影响，具有</w:t>
            </w:r>
          </w:p>
          <w:p w14:paraId="61ADE23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副高及以上技术职务，不少于3人。</w:t>
            </w:r>
          </w:p>
        </w:tc>
        <w:tc>
          <w:tcPr>
            <w:tcW w:w="992" w:type="dxa"/>
            <w:vAlign w:val="center"/>
          </w:tcPr>
          <w:p w14:paraId="66CCC4A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280" w:firstLineChars="100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58A2197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F8D8E3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5D26E93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057F3B8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5A5459E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7A60512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3A817F6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0</w:t>
            </w:r>
          </w:p>
          <w:p w14:paraId="5DB86E7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restart"/>
            <w:vAlign w:val="center"/>
          </w:tcPr>
          <w:p w14:paraId="0772522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5C6A3B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7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 w14:paraId="11155AB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56F84F7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  <w:p w14:paraId="20AA62B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281" w:firstLineChars="100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  <w:p w14:paraId="188424C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562" w:firstLineChars="200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2.2</w:t>
            </w:r>
          </w:p>
          <w:p w14:paraId="34C83F2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专业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教师</w:t>
            </w:r>
          </w:p>
          <w:p w14:paraId="7B4615B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配置</w:t>
            </w:r>
          </w:p>
        </w:tc>
        <w:tc>
          <w:tcPr>
            <w:tcW w:w="7952" w:type="dxa"/>
            <w:vAlign w:val="center"/>
          </w:tcPr>
          <w:p w14:paraId="3F9122E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专任教师数量充足、素质优良，能够满足人才培养需要。近三年无重大影响的师德师风问题；</w:t>
            </w:r>
          </w:p>
          <w:p w14:paraId="6C043D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兼职教师为来自行业、企业的骨干或普通高校的教师，一般应具有中级及以上职称或硕士及以上学位。来自企业或行业的兼职教师除具有相应岗位工作经历外，还应从事过教学工作或职业培训工作；</w:t>
            </w:r>
          </w:p>
          <w:p w14:paraId="003B115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有专业教学所需的专职实验和教学辅助人员；</w:t>
            </w:r>
          </w:p>
          <w:p w14:paraId="2087B8D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每门课程配置1名课程负责人和若干课程导师，其中生师比≤16:1为良好及以上，生师比≥22:1为不合格，评为0分（折合学生系数按0.3计）；</w:t>
            </w:r>
          </w:p>
          <w:p w14:paraId="78DB87D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专业核心课程教师(含课程负责人和课程导师)≥5人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；</w:t>
            </w:r>
          </w:p>
          <w:p w14:paraId="0319348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专业教师中至少70%具有“双师”背景或有行业企业实践经历。</w:t>
            </w:r>
          </w:p>
        </w:tc>
        <w:tc>
          <w:tcPr>
            <w:tcW w:w="992" w:type="dxa"/>
            <w:vAlign w:val="center"/>
          </w:tcPr>
          <w:p w14:paraId="7901B46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firstLine="280" w:firstLineChars="100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14:paraId="28653AF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5173A41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735E382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3F78B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0" w:hRule="atLeast"/>
          <w:jc w:val="center"/>
        </w:trPr>
        <w:tc>
          <w:tcPr>
            <w:tcW w:w="846" w:type="dxa"/>
            <w:vMerge w:val="restart"/>
            <w:vAlign w:val="center"/>
          </w:tcPr>
          <w:p w14:paraId="7E21910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2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0B0DDDF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师资</w:t>
            </w:r>
          </w:p>
          <w:p w14:paraId="340DE28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队伍</w:t>
            </w:r>
          </w:p>
        </w:tc>
        <w:tc>
          <w:tcPr>
            <w:tcW w:w="1687" w:type="dxa"/>
            <w:vAlign w:val="center"/>
          </w:tcPr>
          <w:p w14:paraId="0C7374F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  <w:p w14:paraId="6113C40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2.3</w:t>
            </w:r>
          </w:p>
          <w:p w14:paraId="2BD92CB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专任</w:t>
            </w: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教师</w:t>
            </w:r>
          </w:p>
          <w:p w14:paraId="2B7D0E2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结构</w:t>
            </w:r>
          </w:p>
        </w:tc>
        <w:tc>
          <w:tcPr>
            <w:tcW w:w="7952" w:type="dxa"/>
            <w:vAlign w:val="center"/>
          </w:tcPr>
          <w:p w14:paraId="28AA15E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专任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师资队伍学缘结构合理；</w:t>
            </w:r>
          </w:p>
          <w:p w14:paraId="79242B7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专任教师队伍的专业、学历、职称和年龄结构合理，其中具有研究生学历的人员比例不低于60%；</w:t>
            </w:r>
          </w:p>
          <w:p w14:paraId="1D63BD4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专职（专任）、兼职教师人数之比：理工类专业不低于1/4，人文社科类专业不低于1/6；</w:t>
            </w:r>
          </w:p>
          <w:p w14:paraId="7793E29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专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任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师资队伍的年龄及职称结构合理，形成梯队。</w:t>
            </w:r>
          </w:p>
        </w:tc>
        <w:tc>
          <w:tcPr>
            <w:tcW w:w="992" w:type="dxa"/>
            <w:vAlign w:val="center"/>
          </w:tcPr>
          <w:p w14:paraId="55E80C2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2CD8AB2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7F68126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5696833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673566D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06B7425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403C1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2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 w14:paraId="495F3F9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0D41F61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  <w:p w14:paraId="21D4DEC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  <w:p w14:paraId="2C3E7B3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</w:p>
          <w:p w14:paraId="7DCF663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2.4</w:t>
            </w:r>
          </w:p>
          <w:p w14:paraId="6617534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教师科学研究工作</w:t>
            </w:r>
          </w:p>
        </w:tc>
        <w:tc>
          <w:tcPr>
            <w:tcW w:w="7952" w:type="dxa"/>
            <w:vAlign w:val="center"/>
          </w:tcPr>
          <w:p w14:paraId="3405E18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具有教师职称、学历提升及教师培养等方面的相关政策和措施，满足教师发展要求；</w:t>
            </w:r>
          </w:p>
          <w:p w14:paraId="68AA190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围绕开放大学教学和课程特点，开展网络环境下教学改革研究，主持校级及以上教学改革或专业建设项目，发表教改研究论文，指导和引领开放教育实践，促进教学质量提高；</w:t>
            </w:r>
          </w:p>
          <w:p w14:paraId="1B4216C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专业教师积极开展与专业相关的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科学研究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，主持校级及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上科研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项目，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发表核心期刊及以上学术论文、专利、软件著作权、作品等，科研促进教学效果良好。</w:t>
            </w:r>
          </w:p>
        </w:tc>
        <w:tc>
          <w:tcPr>
            <w:tcW w:w="992" w:type="dxa"/>
            <w:vAlign w:val="center"/>
          </w:tcPr>
          <w:p w14:paraId="5171792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5CEFF53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0941E6B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4AA686D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4E537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6" w:hRule="atLeast"/>
          <w:jc w:val="center"/>
        </w:trPr>
        <w:tc>
          <w:tcPr>
            <w:tcW w:w="846" w:type="dxa"/>
            <w:vMerge w:val="restart"/>
            <w:vAlign w:val="center"/>
          </w:tcPr>
          <w:p w14:paraId="73FFC59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  <w:p w14:paraId="669F5DD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  <w:p w14:paraId="2D4E037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3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24E6DD1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培养</w:t>
            </w:r>
          </w:p>
          <w:p w14:paraId="47BDA44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方案</w:t>
            </w:r>
          </w:p>
          <w:p w14:paraId="51545CE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与课程设置</w:t>
            </w:r>
          </w:p>
          <w:p w14:paraId="773E0C5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659ACE5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3.1</w:t>
            </w:r>
          </w:p>
          <w:p w14:paraId="30552E2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人才培养</w:t>
            </w:r>
          </w:p>
          <w:p w14:paraId="226B74F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方案</w:t>
            </w:r>
          </w:p>
        </w:tc>
        <w:tc>
          <w:tcPr>
            <w:tcW w:w="7952" w:type="dxa"/>
            <w:vAlign w:val="center"/>
          </w:tcPr>
          <w:p w14:paraId="155624E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人才培养方案制订规范；</w:t>
            </w:r>
          </w:p>
          <w:p w14:paraId="24D191B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人才培养目标及毕业要求契合学校办学定位和学科优势，与专业定位匹配；</w:t>
            </w:r>
          </w:p>
          <w:p w14:paraId="16D032B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人才培养方案符合培养目标要求，适应社会发展需要，有利于人文素养和科学素养提高，有利于创新精神、创业意识和创新创业能力、实践能力的培养，体现成人职后教育特色；</w:t>
            </w:r>
          </w:p>
          <w:p w14:paraId="4C36350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根据学科发展和社会需求及时修订培养方案，有与行业、企业共同研究制订培养方案的制度和措施；</w:t>
            </w:r>
          </w:p>
          <w:p w14:paraId="2D26220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执行情况好。</w:t>
            </w:r>
          </w:p>
        </w:tc>
        <w:tc>
          <w:tcPr>
            <w:tcW w:w="992" w:type="dxa"/>
            <w:vAlign w:val="center"/>
          </w:tcPr>
          <w:p w14:paraId="2AF3F39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14:paraId="6CA4E52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F4695C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46AB3F2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771444F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6ED6D27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5FA88F3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0</w:t>
            </w:r>
          </w:p>
          <w:p w14:paraId="028889B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6BD465D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restart"/>
            <w:vAlign w:val="center"/>
          </w:tcPr>
          <w:p w14:paraId="6788436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434D2E3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1066005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17BC985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7E65AE5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2B7E9B2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02F978E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3F2B2A8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42B07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46" w:type="dxa"/>
            <w:vMerge w:val="continue"/>
            <w:vAlign w:val="center"/>
          </w:tcPr>
          <w:p w14:paraId="7377EDA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6BB1B84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3.2</w:t>
            </w:r>
          </w:p>
          <w:p w14:paraId="5AE5FB7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课程设置</w:t>
            </w:r>
          </w:p>
        </w:tc>
        <w:tc>
          <w:tcPr>
            <w:tcW w:w="7952" w:type="dxa"/>
            <w:vAlign w:val="center"/>
          </w:tcPr>
          <w:p w14:paraId="43EDA4C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课程设置科学合理，符合国家标准和规范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0ED7533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757A1A5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5A1290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5984E24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0030CA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846" w:type="dxa"/>
            <w:vMerge w:val="continue"/>
            <w:vAlign w:val="center"/>
          </w:tcPr>
          <w:p w14:paraId="732F905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0D1ED5E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3.3</w:t>
            </w:r>
          </w:p>
          <w:p w14:paraId="02C2947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教学内容</w:t>
            </w:r>
          </w:p>
        </w:tc>
        <w:tc>
          <w:tcPr>
            <w:tcW w:w="7952" w:type="dxa"/>
            <w:vAlign w:val="center"/>
          </w:tcPr>
          <w:p w14:paraId="4531A14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教学内容彰显培养特色，支撑本专业培养目标及毕业要求；</w:t>
            </w:r>
          </w:p>
          <w:p w14:paraId="533ECEF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有优质的课程建设规划和方案，课程开发符合在线教育的教学特点；</w:t>
            </w:r>
          </w:p>
          <w:p w14:paraId="7DC52CF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课程配套教材选用合理，均配备数字化教学资源（含电子讲义、演示文稿、视频等多样化学习材料），满足线上线下学习需求。</w:t>
            </w:r>
          </w:p>
        </w:tc>
        <w:tc>
          <w:tcPr>
            <w:tcW w:w="992" w:type="dxa"/>
            <w:vAlign w:val="center"/>
          </w:tcPr>
          <w:p w14:paraId="105B7E0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20FF22E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6EB70A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414E9ED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0E9BB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  <w:jc w:val="center"/>
        </w:trPr>
        <w:tc>
          <w:tcPr>
            <w:tcW w:w="846" w:type="dxa"/>
            <w:vMerge w:val="restart"/>
            <w:vAlign w:val="center"/>
          </w:tcPr>
          <w:p w14:paraId="6D13845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4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20C96A9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教学</w:t>
            </w:r>
          </w:p>
          <w:p w14:paraId="441D95B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条件</w:t>
            </w:r>
          </w:p>
        </w:tc>
        <w:tc>
          <w:tcPr>
            <w:tcW w:w="1687" w:type="dxa"/>
            <w:vAlign w:val="center"/>
          </w:tcPr>
          <w:p w14:paraId="4273AD4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 xml:space="preserve">4.1 </w:t>
            </w:r>
          </w:p>
          <w:p w14:paraId="3E05B7F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教学经费</w:t>
            </w:r>
          </w:p>
        </w:tc>
        <w:tc>
          <w:tcPr>
            <w:tcW w:w="7952" w:type="dxa"/>
            <w:vAlign w:val="center"/>
          </w:tcPr>
          <w:p w14:paraId="5277260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专业教学经费有保证，能够满足专业人才培养需要；</w:t>
            </w:r>
          </w:p>
          <w:p w14:paraId="3FFA3D7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对新专业建设提供专项经费，保证新专业建设规划顺利实施，对课程建设、教改研究提供专项经费支持；</w:t>
            </w:r>
          </w:p>
          <w:p w14:paraId="7C6E7B4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生均教学科研仪器设备值不低于5000元。</w:t>
            </w:r>
          </w:p>
        </w:tc>
        <w:tc>
          <w:tcPr>
            <w:tcW w:w="992" w:type="dxa"/>
            <w:vAlign w:val="center"/>
          </w:tcPr>
          <w:p w14:paraId="357D489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66F8A20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6A3EC78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42F1870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0FB08CA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0CC71E4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497484E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5DC9B99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2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5</w:t>
            </w:r>
          </w:p>
          <w:p w14:paraId="0C16340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4655114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55B02DF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22576A7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firstLine="280" w:firstLineChars="100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restart"/>
            <w:vAlign w:val="center"/>
          </w:tcPr>
          <w:p w14:paraId="2458EA7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61C89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 w14:paraId="0810752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7EE7FDF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4.2</w:t>
            </w:r>
          </w:p>
          <w:p w14:paraId="7A6AB5A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教育教学技术应用</w:t>
            </w:r>
          </w:p>
        </w:tc>
        <w:tc>
          <w:tcPr>
            <w:tcW w:w="7952" w:type="dxa"/>
            <w:vAlign w:val="center"/>
          </w:tcPr>
          <w:p w14:paraId="31BFB87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教育教学技术有效应用于教学过程；</w:t>
            </w:r>
          </w:p>
          <w:p w14:paraId="23141E8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远程教学平台能支持网上学习、辅导答疑、测试练习等功能，实现教学互动；</w:t>
            </w:r>
          </w:p>
          <w:p w14:paraId="6AC79DC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能提供开放共享的个性化远程学习支持服务。</w:t>
            </w:r>
          </w:p>
        </w:tc>
        <w:tc>
          <w:tcPr>
            <w:tcW w:w="992" w:type="dxa"/>
            <w:vAlign w:val="center"/>
          </w:tcPr>
          <w:p w14:paraId="06FC107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361FF96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0F0F875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5E248F5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41CB40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 w14:paraId="66B3217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6F367AA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4.3</w:t>
            </w:r>
          </w:p>
          <w:p w14:paraId="0118089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实验条件及开设情况</w:t>
            </w:r>
          </w:p>
        </w:tc>
        <w:tc>
          <w:tcPr>
            <w:tcW w:w="7952" w:type="dxa"/>
            <w:vAlign w:val="center"/>
          </w:tcPr>
          <w:p w14:paraId="120F007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有完善的实验室管理制度，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实验室及设备在数量和功能上满足教学需要，利用率高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。</w:t>
            </w:r>
          </w:p>
        </w:tc>
        <w:tc>
          <w:tcPr>
            <w:tcW w:w="992" w:type="dxa"/>
            <w:vAlign w:val="center"/>
          </w:tcPr>
          <w:p w14:paraId="6492C7F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35E72C8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6E0E9DD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5D888C4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6B97D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0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 w14:paraId="2D6E2D6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220D0E3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4.4</w:t>
            </w:r>
          </w:p>
          <w:p w14:paraId="76D1809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实践基地及运行情况</w:t>
            </w:r>
          </w:p>
        </w:tc>
        <w:tc>
          <w:tcPr>
            <w:tcW w:w="7952" w:type="dxa"/>
            <w:vAlign w:val="center"/>
          </w:tcPr>
          <w:p w14:paraId="5AFA141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校内外实践基地满足人才培养需要且运行情况良好；</w:t>
            </w:r>
          </w:p>
          <w:p w14:paraId="46E1796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每个专业有不少于3个较为稳定的校外实习实训基地（含与企业、高校共享），并规范有效开展实习实践教学活动；</w:t>
            </w:r>
          </w:p>
          <w:p w14:paraId="5E3E2FF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能根据专业实践教学需要，建设虚拟仿真实验或实训中心。</w:t>
            </w:r>
          </w:p>
        </w:tc>
        <w:tc>
          <w:tcPr>
            <w:tcW w:w="992" w:type="dxa"/>
            <w:vAlign w:val="center"/>
          </w:tcPr>
          <w:p w14:paraId="12C1EE5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7</w:t>
            </w:r>
          </w:p>
        </w:tc>
        <w:tc>
          <w:tcPr>
            <w:tcW w:w="992" w:type="dxa"/>
            <w:vAlign w:val="center"/>
          </w:tcPr>
          <w:p w14:paraId="20B27D5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34E2605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19563A8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284A5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4" w:hRule="atLeast"/>
          <w:jc w:val="center"/>
        </w:trPr>
        <w:tc>
          <w:tcPr>
            <w:tcW w:w="846" w:type="dxa"/>
            <w:vAlign w:val="center"/>
          </w:tcPr>
          <w:p w14:paraId="1AAE1E3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4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29F28B6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教学</w:t>
            </w:r>
          </w:p>
          <w:p w14:paraId="0B95E0C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条件</w:t>
            </w:r>
          </w:p>
        </w:tc>
        <w:tc>
          <w:tcPr>
            <w:tcW w:w="1687" w:type="dxa"/>
            <w:vAlign w:val="center"/>
          </w:tcPr>
          <w:p w14:paraId="73D94FF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4.5</w:t>
            </w:r>
          </w:p>
          <w:p w14:paraId="70EF34B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专业图书</w:t>
            </w:r>
          </w:p>
          <w:p w14:paraId="533EB78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资料</w:t>
            </w:r>
          </w:p>
        </w:tc>
        <w:tc>
          <w:tcPr>
            <w:tcW w:w="7952" w:type="dxa"/>
            <w:vAlign w:val="center"/>
          </w:tcPr>
          <w:p w14:paraId="03B666D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图书资料（含电子图书、期刊或数据库）满足专业教学需要；</w:t>
            </w:r>
          </w:p>
          <w:p w14:paraId="0792EA6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专业图书资料（含数字图书）人均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不低于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100册，种类较全，满足专业教学要求；</w:t>
            </w:r>
          </w:p>
          <w:p w14:paraId="2813CE7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数字化资源建设有规划、有投入，数字资源的使用、管理规范，优质资源的共享性好。</w:t>
            </w:r>
          </w:p>
        </w:tc>
        <w:tc>
          <w:tcPr>
            <w:tcW w:w="992" w:type="dxa"/>
            <w:vAlign w:val="center"/>
          </w:tcPr>
          <w:p w14:paraId="1AE3D6C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4</w:t>
            </w:r>
          </w:p>
        </w:tc>
        <w:tc>
          <w:tcPr>
            <w:tcW w:w="992" w:type="dxa"/>
            <w:vAlign w:val="center"/>
          </w:tcPr>
          <w:p w14:paraId="31B3C20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5827345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730F2D5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3C0493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78" w:hRule="atLeast"/>
          <w:jc w:val="center"/>
        </w:trPr>
        <w:tc>
          <w:tcPr>
            <w:tcW w:w="846" w:type="dxa"/>
            <w:vMerge w:val="restart"/>
            <w:vAlign w:val="center"/>
          </w:tcPr>
          <w:p w14:paraId="3B0463B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</w:rPr>
              <w:t>5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2686993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教学</w:t>
            </w:r>
          </w:p>
          <w:p w14:paraId="3272627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规范</w:t>
            </w:r>
          </w:p>
        </w:tc>
        <w:tc>
          <w:tcPr>
            <w:tcW w:w="1687" w:type="dxa"/>
            <w:vAlign w:val="center"/>
          </w:tcPr>
          <w:p w14:paraId="042EFCF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5.1</w:t>
            </w:r>
          </w:p>
          <w:p w14:paraId="6939045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教学管理规章制度制订及执行</w:t>
            </w:r>
          </w:p>
        </w:tc>
        <w:tc>
          <w:tcPr>
            <w:tcW w:w="7952" w:type="dxa"/>
            <w:vAlign w:val="center"/>
          </w:tcPr>
          <w:p w14:paraId="4B67660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教学管理规章制度健全，执行严格。</w:t>
            </w:r>
          </w:p>
        </w:tc>
        <w:tc>
          <w:tcPr>
            <w:tcW w:w="992" w:type="dxa"/>
            <w:vAlign w:val="center"/>
          </w:tcPr>
          <w:p w14:paraId="58C1E2C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3</w:t>
            </w:r>
          </w:p>
        </w:tc>
        <w:tc>
          <w:tcPr>
            <w:tcW w:w="992" w:type="dxa"/>
            <w:vAlign w:val="center"/>
          </w:tcPr>
          <w:p w14:paraId="25D4E24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7EBCB46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272BF74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521A0A5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371F93E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40D984D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2125A3A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5</w:t>
            </w:r>
          </w:p>
        </w:tc>
        <w:tc>
          <w:tcPr>
            <w:tcW w:w="884" w:type="dxa"/>
            <w:vMerge w:val="restart"/>
            <w:vAlign w:val="center"/>
          </w:tcPr>
          <w:p w14:paraId="10E2A9C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33DD506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37C673D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25F6A2B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7E6332F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6B246B4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  <w:p w14:paraId="4CD170D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4B4C7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2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 w14:paraId="169BF1D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00B5D26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5.2</w:t>
            </w:r>
          </w:p>
          <w:p w14:paraId="541DA2F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教学运行</w:t>
            </w:r>
          </w:p>
          <w:p w14:paraId="779A8CF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管理</w:t>
            </w:r>
          </w:p>
        </w:tc>
        <w:tc>
          <w:tcPr>
            <w:tcW w:w="7952" w:type="dxa"/>
            <w:vAlign w:val="center"/>
          </w:tcPr>
          <w:p w14:paraId="5DB606F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教学运行规范有序，教学大纲（含考核大纲）、教案、教材及教辅资料、考试考核等管理规范；</w:t>
            </w:r>
          </w:p>
          <w:p w14:paraId="5F3C696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岗位</w:t>
            </w: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实习（或研习）教学环节设置科学合理，计划性强，过程管理严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，达到教学要求；</w:t>
            </w:r>
          </w:p>
          <w:p w14:paraId="2BA4654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按照教学计划开设专业实验（含设计性、综合性实验），实验教学规范；</w:t>
            </w:r>
          </w:p>
          <w:p w14:paraId="1745378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按规定配备实训指导教师，有计划、有考核，实训有明确的目标和内容</w:t>
            </w: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；</w:t>
            </w:r>
          </w:p>
          <w:p w14:paraId="7F1FC0B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毕业论文（设计）工作有制度、有规范，有较为完备的组织实施方案，要求严格。</w:t>
            </w:r>
          </w:p>
        </w:tc>
        <w:tc>
          <w:tcPr>
            <w:tcW w:w="992" w:type="dxa"/>
            <w:vAlign w:val="center"/>
          </w:tcPr>
          <w:p w14:paraId="1B4BEEA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7090F05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05F9B9C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4FC4EDB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160E7AA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</w:p>
          <w:p w14:paraId="0031219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6</w:t>
            </w:r>
          </w:p>
        </w:tc>
        <w:tc>
          <w:tcPr>
            <w:tcW w:w="992" w:type="dxa"/>
            <w:vAlign w:val="center"/>
          </w:tcPr>
          <w:p w14:paraId="52E0578A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7E29A7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1FD195D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5C54F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  <w:jc w:val="center"/>
        </w:trPr>
        <w:tc>
          <w:tcPr>
            <w:tcW w:w="846" w:type="dxa"/>
            <w:vMerge w:val="restart"/>
            <w:vAlign w:val="center"/>
          </w:tcPr>
          <w:p w14:paraId="369328E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</w:rPr>
              <w:t>5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6988AAD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教学</w:t>
            </w:r>
          </w:p>
          <w:p w14:paraId="36BB95C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规范</w:t>
            </w:r>
          </w:p>
        </w:tc>
        <w:tc>
          <w:tcPr>
            <w:tcW w:w="1687" w:type="dxa"/>
            <w:vAlign w:val="center"/>
          </w:tcPr>
          <w:p w14:paraId="10BDC85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5.3</w:t>
            </w:r>
          </w:p>
          <w:p w14:paraId="5BE9836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教学研究与改革</w:t>
            </w:r>
          </w:p>
        </w:tc>
        <w:tc>
          <w:tcPr>
            <w:tcW w:w="7952" w:type="dxa"/>
            <w:vAlign w:val="center"/>
          </w:tcPr>
          <w:p w14:paraId="2863CD5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积极推进教学管理研究，有实施方案，有项目支撑，有激励措施，开展有序。</w:t>
            </w:r>
          </w:p>
        </w:tc>
        <w:tc>
          <w:tcPr>
            <w:tcW w:w="992" w:type="dxa"/>
            <w:vAlign w:val="center"/>
          </w:tcPr>
          <w:p w14:paraId="17C8FC7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148A18C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10E46E7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266DC61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1C171D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5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 w14:paraId="65C7732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3C7F07D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5.4</w:t>
            </w:r>
          </w:p>
          <w:p w14:paraId="2F99C86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教学方法与创新</w:t>
            </w:r>
          </w:p>
        </w:tc>
        <w:tc>
          <w:tcPr>
            <w:tcW w:w="7952" w:type="dxa"/>
            <w:vAlign w:val="center"/>
          </w:tcPr>
          <w:p w14:paraId="02E32C91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教学方法运用得当，注重因材施教；</w:t>
            </w:r>
          </w:p>
          <w:p w14:paraId="39AB0A5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85%以上教师参与网上教学基本能力培训，能熟练运用信息技术制作多媒体教学资源，开展网上教学、微课等多媒体教学资源开发，创新教学内容的呈现形式。</w:t>
            </w:r>
          </w:p>
        </w:tc>
        <w:tc>
          <w:tcPr>
            <w:tcW w:w="992" w:type="dxa"/>
            <w:vAlign w:val="center"/>
          </w:tcPr>
          <w:p w14:paraId="71B77D8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27583F9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F8BAA7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2C177CA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2FC0ED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3" w:hRule="atLeast"/>
          <w:jc w:val="center"/>
        </w:trPr>
        <w:tc>
          <w:tcPr>
            <w:tcW w:w="846" w:type="dxa"/>
            <w:vMerge w:val="continue"/>
            <w:tcBorders/>
            <w:vAlign w:val="center"/>
          </w:tcPr>
          <w:p w14:paraId="7004962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2EAD2D15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5.5</w:t>
            </w:r>
          </w:p>
          <w:p w14:paraId="70D01BF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教师教学</w:t>
            </w:r>
          </w:p>
          <w:p w14:paraId="7B023C9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行为</w:t>
            </w:r>
          </w:p>
        </w:tc>
        <w:tc>
          <w:tcPr>
            <w:tcW w:w="7952" w:type="dxa"/>
            <w:vAlign w:val="center"/>
          </w:tcPr>
          <w:p w14:paraId="1FDC9EC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教师教学行为规范，精神风貌良好。</w:t>
            </w:r>
          </w:p>
        </w:tc>
        <w:tc>
          <w:tcPr>
            <w:tcW w:w="992" w:type="dxa"/>
            <w:vAlign w:val="center"/>
          </w:tcPr>
          <w:p w14:paraId="6DC39A8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2</w:t>
            </w:r>
          </w:p>
        </w:tc>
        <w:tc>
          <w:tcPr>
            <w:tcW w:w="992" w:type="dxa"/>
            <w:vAlign w:val="center"/>
          </w:tcPr>
          <w:p w14:paraId="040CC26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788BBA38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2373E26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0376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restart"/>
            <w:vAlign w:val="center"/>
          </w:tcPr>
          <w:p w14:paraId="74FCB2BE">
            <w:pPr>
              <w:keepNext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</w:rPr>
              <w:t>6</w:t>
            </w:r>
            <w:r>
              <w:rPr>
                <w:rFonts w:hint="eastAsia" w:ascii="Times New Roman" w:hAnsi="Times New Roman" w:cs="Times New Roman" w:eastAsiaTheme="minorEastAsia"/>
                <w:b/>
                <w:bCs/>
                <w:sz w:val="28"/>
                <w:szCs w:val="28"/>
                <w:lang w:eastAsia="zh-CN"/>
              </w:rPr>
              <w:t>.</w:t>
            </w:r>
          </w:p>
          <w:p w14:paraId="1D622849">
            <w:pPr>
              <w:keepNext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质量</w:t>
            </w:r>
          </w:p>
          <w:p w14:paraId="4E0B547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  <w:t>保障</w:t>
            </w:r>
          </w:p>
        </w:tc>
        <w:tc>
          <w:tcPr>
            <w:tcW w:w="1687" w:type="dxa"/>
            <w:vAlign w:val="center"/>
          </w:tcPr>
          <w:p w14:paraId="08BEA6C2">
            <w:pPr>
              <w:keepNext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6.1</w:t>
            </w:r>
          </w:p>
          <w:p w14:paraId="151012AE">
            <w:pPr>
              <w:keepNext/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质量保障</w:t>
            </w:r>
          </w:p>
          <w:p w14:paraId="23B51116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指标体系</w:t>
            </w:r>
          </w:p>
        </w:tc>
        <w:tc>
          <w:tcPr>
            <w:tcW w:w="7952" w:type="dxa"/>
            <w:vAlign w:val="center"/>
          </w:tcPr>
          <w:p w14:paraId="745D2C0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质量保障指标体系科学合理。</w:t>
            </w:r>
          </w:p>
        </w:tc>
        <w:tc>
          <w:tcPr>
            <w:tcW w:w="992" w:type="dxa"/>
            <w:vAlign w:val="center"/>
          </w:tcPr>
          <w:p w14:paraId="356E8A0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6CB293BF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19DAF8B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4"/>
              </w:rPr>
              <w:t>1</w:t>
            </w: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0</w:t>
            </w:r>
          </w:p>
        </w:tc>
        <w:tc>
          <w:tcPr>
            <w:tcW w:w="884" w:type="dxa"/>
            <w:vMerge w:val="restart"/>
            <w:vAlign w:val="center"/>
          </w:tcPr>
          <w:p w14:paraId="0084D89B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17F2A5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46" w:type="dxa"/>
            <w:vMerge w:val="continue"/>
            <w:vAlign w:val="center"/>
          </w:tcPr>
          <w:p w14:paraId="2DD9094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bCs/>
                <w:sz w:val="28"/>
                <w:szCs w:val="28"/>
              </w:rPr>
            </w:pPr>
          </w:p>
        </w:tc>
        <w:tc>
          <w:tcPr>
            <w:tcW w:w="1687" w:type="dxa"/>
            <w:vAlign w:val="center"/>
          </w:tcPr>
          <w:p w14:paraId="3E7C1E9E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6.2</w:t>
            </w:r>
          </w:p>
          <w:p w14:paraId="36D25B87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质量监控、评估反馈及持续改进</w:t>
            </w:r>
          </w:p>
          <w:p w14:paraId="7A45FEB9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措施</w:t>
            </w:r>
          </w:p>
        </w:tc>
        <w:tc>
          <w:tcPr>
            <w:tcW w:w="7952" w:type="dxa"/>
            <w:vAlign w:val="center"/>
          </w:tcPr>
          <w:p w14:paraId="6A49EACD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sz w:val="28"/>
                <w:szCs w:val="28"/>
              </w:rPr>
              <w:t>质量监控、评估反馈和持续改进机制健全，运行有效。</w:t>
            </w:r>
          </w:p>
        </w:tc>
        <w:tc>
          <w:tcPr>
            <w:tcW w:w="992" w:type="dxa"/>
            <w:vAlign w:val="center"/>
          </w:tcPr>
          <w:p w14:paraId="30C1B462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hint="eastAsia" w:ascii="Times New Roman" w:hAnsi="Times New Roman" w:cs="Times New Roman" w:eastAsiaTheme="minorEastAsia"/>
                <w:sz w:val="28"/>
                <w:szCs w:val="28"/>
              </w:rPr>
              <w:t>5</w:t>
            </w:r>
          </w:p>
        </w:tc>
        <w:tc>
          <w:tcPr>
            <w:tcW w:w="992" w:type="dxa"/>
            <w:vAlign w:val="center"/>
          </w:tcPr>
          <w:p w14:paraId="1231DB6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51" w:type="dxa"/>
            <w:vMerge w:val="continue"/>
            <w:vAlign w:val="center"/>
          </w:tcPr>
          <w:p w14:paraId="1DBA18E4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  <w:tc>
          <w:tcPr>
            <w:tcW w:w="884" w:type="dxa"/>
            <w:vMerge w:val="continue"/>
            <w:vAlign w:val="center"/>
          </w:tcPr>
          <w:p w14:paraId="0759B7F3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</w:p>
        </w:tc>
      </w:tr>
      <w:tr w14:paraId="447DE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0485" w:type="dxa"/>
            <w:gridSpan w:val="3"/>
            <w:vAlign w:val="center"/>
          </w:tcPr>
          <w:p w14:paraId="5FB83680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center"/>
              <w:textAlignment w:val="auto"/>
              <w:rPr>
                <w:rFonts w:ascii="Times New Roman" w:hAnsi="Times New Roman" w:cs="Times New Roman" w:eastAsiaTheme="minorEastAsia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自评得分</w:t>
            </w:r>
          </w:p>
        </w:tc>
        <w:tc>
          <w:tcPr>
            <w:tcW w:w="3719" w:type="dxa"/>
            <w:gridSpan w:val="4"/>
            <w:vAlign w:val="center"/>
          </w:tcPr>
          <w:p w14:paraId="2B8C67FC">
            <w:pPr>
              <w:keepLines w:val="0"/>
              <w:pageBreakBefore w:val="0"/>
              <w:widowControl w:val="0"/>
              <w:kinsoku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jc w:val="center"/>
              <w:textAlignment w:val="auto"/>
              <w:rPr>
                <w:rFonts w:ascii="Times New Roman" w:hAnsi="Times New Roman" w:eastAsia="仿宋_GB2312" w:cs="Times New Roman"/>
                <w:sz w:val="28"/>
                <w:szCs w:val="24"/>
              </w:rPr>
            </w:pPr>
            <w:r>
              <w:rPr>
                <w:rFonts w:ascii="Times New Roman" w:hAnsi="Times New Roman" w:eastAsia="仿宋_GB2312" w:cs="Times New Roman"/>
                <w:sz w:val="28"/>
                <w:szCs w:val="24"/>
              </w:rPr>
              <w:t>分</w:t>
            </w:r>
          </w:p>
        </w:tc>
      </w:tr>
      <w:tr w14:paraId="334B8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 w:hRule="atLeast"/>
          <w:jc w:val="center"/>
        </w:trPr>
        <w:tc>
          <w:tcPr>
            <w:tcW w:w="14204" w:type="dxa"/>
            <w:gridSpan w:val="7"/>
            <w:vAlign w:val="center"/>
          </w:tcPr>
          <w:p w14:paraId="5BC1DFDE">
            <w:pPr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jc w:val="left"/>
              <w:textAlignment w:val="auto"/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EastAsia"/>
                <w:b/>
                <w:sz w:val="28"/>
                <w:szCs w:val="28"/>
              </w:rPr>
              <w:t>注：</w:t>
            </w:r>
            <w:r>
              <w:rPr>
                <w:rFonts w:hint="eastAsia" w:ascii="Times New Roman" w:hAnsi="Times New Roman" w:cs="Times New Roman" w:eastAsiaTheme="minorEastAsia"/>
                <w:b/>
                <w:sz w:val="28"/>
                <w:szCs w:val="28"/>
              </w:rPr>
              <w:t>自评得分表为结合我校实际，对附件2《江苏省学士学位授权专业审核标准》的细化，仅供各学院准备材料时参考，评审全过程应严格参照江苏省审核标准。</w:t>
            </w:r>
          </w:p>
        </w:tc>
      </w:tr>
    </w:tbl>
    <w:p w14:paraId="3B1FE5A3">
      <w:pPr>
        <w:wordWrap w:val="0"/>
        <w:rPr>
          <w:rFonts w:ascii="Times New Roman" w:hAnsi="Times New Roman" w:cs="Times New Roman"/>
        </w:rPr>
      </w:pPr>
      <w:bookmarkStart w:id="0" w:name="_GoBack"/>
      <w:bookmarkEnd w:id="0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20212805"/>
      <w:docPartObj>
        <w:docPartGallery w:val="AutoText"/>
      </w:docPartObj>
    </w:sdtPr>
    <w:sdtContent>
      <w:p w14:paraId="2EF811E4"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8</w:t>
        </w:r>
        <w:r>
          <w:fldChar w:fldCharType="end"/>
        </w:r>
      </w:p>
    </w:sdtContent>
  </w:sdt>
  <w:p w14:paraId="5E7DD309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991A1D">
    <w:pPr>
      <w:pStyle w:val="5"/>
      <w:pBdr>
        <w:bottom w:val="none" w:color="auto" w:sz="0" w:space="0"/>
      </w:pBdr>
      <w:rPr>
        <w:rFonts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042"/>
    <w:rsid w:val="00023639"/>
    <w:rsid w:val="00027804"/>
    <w:rsid w:val="00032165"/>
    <w:rsid w:val="0003711A"/>
    <w:rsid w:val="00046165"/>
    <w:rsid w:val="00056548"/>
    <w:rsid w:val="00066179"/>
    <w:rsid w:val="000C00AF"/>
    <w:rsid w:val="000E2749"/>
    <w:rsid w:val="000E2AA8"/>
    <w:rsid w:val="000E7B7E"/>
    <w:rsid w:val="00120FC3"/>
    <w:rsid w:val="0012266E"/>
    <w:rsid w:val="00125FED"/>
    <w:rsid w:val="00133B28"/>
    <w:rsid w:val="00136AF8"/>
    <w:rsid w:val="0015221C"/>
    <w:rsid w:val="00164C00"/>
    <w:rsid w:val="00183B7A"/>
    <w:rsid w:val="001867D4"/>
    <w:rsid w:val="001C0393"/>
    <w:rsid w:val="001C6565"/>
    <w:rsid w:val="001D7B59"/>
    <w:rsid w:val="001E7253"/>
    <w:rsid w:val="002056BB"/>
    <w:rsid w:val="00211EF1"/>
    <w:rsid w:val="00217FEB"/>
    <w:rsid w:val="00220A9E"/>
    <w:rsid w:val="00235296"/>
    <w:rsid w:val="0024496A"/>
    <w:rsid w:val="00252BC6"/>
    <w:rsid w:val="002552D8"/>
    <w:rsid w:val="00261934"/>
    <w:rsid w:val="00262CE5"/>
    <w:rsid w:val="00267CB3"/>
    <w:rsid w:val="00267DCB"/>
    <w:rsid w:val="0027330A"/>
    <w:rsid w:val="00275153"/>
    <w:rsid w:val="00281EB6"/>
    <w:rsid w:val="002832AD"/>
    <w:rsid w:val="0028374B"/>
    <w:rsid w:val="002852B9"/>
    <w:rsid w:val="00295CA4"/>
    <w:rsid w:val="00296080"/>
    <w:rsid w:val="002C2D90"/>
    <w:rsid w:val="002C7927"/>
    <w:rsid w:val="002E1959"/>
    <w:rsid w:val="002F19D7"/>
    <w:rsid w:val="002F60E2"/>
    <w:rsid w:val="00304F9D"/>
    <w:rsid w:val="003063E3"/>
    <w:rsid w:val="00311680"/>
    <w:rsid w:val="00325044"/>
    <w:rsid w:val="00331FFF"/>
    <w:rsid w:val="00337F39"/>
    <w:rsid w:val="00344BEC"/>
    <w:rsid w:val="0035120E"/>
    <w:rsid w:val="00356608"/>
    <w:rsid w:val="00361F14"/>
    <w:rsid w:val="00362155"/>
    <w:rsid w:val="003634CC"/>
    <w:rsid w:val="003653AE"/>
    <w:rsid w:val="00382816"/>
    <w:rsid w:val="0039234E"/>
    <w:rsid w:val="003A25CA"/>
    <w:rsid w:val="003A5C6E"/>
    <w:rsid w:val="003B62BF"/>
    <w:rsid w:val="003C67D7"/>
    <w:rsid w:val="003D08B5"/>
    <w:rsid w:val="003D22DB"/>
    <w:rsid w:val="003E192D"/>
    <w:rsid w:val="003E65CC"/>
    <w:rsid w:val="003E78AF"/>
    <w:rsid w:val="003F0130"/>
    <w:rsid w:val="003F0E4F"/>
    <w:rsid w:val="00405C54"/>
    <w:rsid w:val="00413DA8"/>
    <w:rsid w:val="00424C61"/>
    <w:rsid w:val="00450D83"/>
    <w:rsid w:val="00457EC1"/>
    <w:rsid w:val="004617C5"/>
    <w:rsid w:val="00481013"/>
    <w:rsid w:val="00490C41"/>
    <w:rsid w:val="004938BA"/>
    <w:rsid w:val="004A0EA1"/>
    <w:rsid w:val="004A2CCC"/>
    <w:rsid w:val="004A41D7"/>
    <w:rsid w:val="004B3F7E"/>
    <w:rsid w:val="004C2C2C"/>
    <w:rsid w:val="004C49F2"/>
    <w:rsid w:val="004D4CBC"/>
    <w:rsid w:val="004E6019"/>
    <w:rsid w:val="00506292"/>
    <w:rsid w:val="00526FC2"/>
    <w:rsid w:val="005301BE"/>
    <w:rsid w:val="00546F70"/>
    <w:rsid w:val="00550EE7"/>
    <w:rsid w:val="005606D4"/>
    <w:rsid w:val="00562A03"/>
    <w:rsid w:val="0057105E"/>
    <w:rsid w:val="00575AAC"/>
    <w:rsid w:val="00581C36"/>
    <w:rsid w:val="00593684"/>
    <w:rsid w:val="0059593E"/>
    <w:rsid w:val="005A1980"/>
    <w:rsid w:val="005A5ACB"/>
    <w:rsid w:val="005C0204"/>
    <w:rsid w:val="005C13AD"/>
    <w:rsid w:val="005C2093"/>
    <w:rsid w:val="005D0A96"/>
    <w:rsid w:val="005D16C2"/>
    <w:rsid w:val="005D4D87"/>
    <w:rsid w:val="005D5461"/>
    <w:rsid w:val="005E00E3"/>
    <w:rsid w:val="005E4253"/>
    <w:rsid w:val="005E7AE9"/>
    <w:rsid w:val="005F0601"/>
    <w:rsid w:val="005F2902"/>
    <w:rsid w:val="00601AD9"/>
    <w:rsid w:val="006032FE"/>
    <w:rsid w:val="006046D3"/>
    <w:rsid w:val="0060793F"/>
    <w:rsid w:val="006307FA"/>
    <w:rsid w:val="00636F6A"/>
    <w:rsid w:val="0063782B"/>
    <w:rsid w:val="00656EF0"/>
    <w:rsid w:val="00673A80"/>
    <w:rsid w:val="006A7E34"/>
    <w:rsid w:val="006B1BA1"/>
    <w:rsid w:val="006D6720"/>
    <w:rsid w:val="006E7823"/>
    <w:rsid w:val="006F58BF"/>
    <w:rsid w:val="007009AD"/>
    <w:rsid w:val="00705DE2"/>
    <w:rsid w:val="00713722"/>
    <w:rsid w:val="00713AF0"/>
    <w:rsid w:val="00715439"/>
    <w:rsid w:val="00715C3D"/>
    <w:rsid w:val="0072375A"/>
    <w:rsid w:val="00727A48"/>
    <w:rsid w:val="0073198C"/>
    <w:rsid w:val="00742BDC"/>
    <w:rsid w:val="00743472"/>
    <w:rsid w:val="0074350D"/>
    <w:rsid w:val="00745875"/>
    <w:rsid w:val="007613C3"/>
    <w:rsid w:val="0078103B"/>
    <w:rsid w:val="00792142"/>
    <w:rsid w:val="00794D84"/>
    <w:rsid w:val="00796321"/>
    <w:rsid w:val="007A66F4"/>
    <w:rsid w:val="007B3BEF"/>
    <w:rsid w:val="007D5B4F"/>
    <w:rsid w:val="007D7D8C"/>
    <w:rsid w:val="007E7A91"/>
    <w:rsid w:val="007F1144"/>
    <w:rsid w:val="007F40CF"/>
    <w:rsid w:val="00806635"/>
    <w:rsid w:val="008204FF"/>
    <w:rsid w:val="008365E3"/>
    <w:rsid w:val="008456AD"/>
    <w:rsid w:val="008464C5"/>
    <w:rsid w:val="00857DFB"/>
    <w:rsid w:val="00861930"/>
    <w:rsid w:val="008644D0"/>
    <w:rsid w:val="00870B6B"/>
    <w:rsid w:val="00875861"/>
    <w:rsid w:val="00894342"/>
    <w:rsid w:val="008A0C12"/>
    <w:rsid w:val="008B3042"/>
    <w:rsid w:val="008B41BD"/>
    <w:rsid w:val="008B56E3"/>
    <w:rsid w:val="008C5FC3"/>
    <w:rsid w:val="00917011"/>
    <w:rsid w:val="009251EA"/>
    <w:rsid w:val="009259A3"/>
    <w:rsid w:val="00936D0C"/>
    <w:rsid w:val="00947DBD"/>
    <w:rsid w:val="009504E8"/>
    <w:rsid w:val="00951773"/>
    <w:rsid w:val="00955D80"/>
    <w:rsid w:val="0096130E"/>
    <w:rsid w:val="00967692"/>
    <w:rsid w:val="00977B3E"/>
    <w:rsid w:val="00984030"/>
    <w:rsid w:val="00986E64"/>
    <w:rsid w:val="009877B0"/>
    <w:rsid w:val="00992575"/>
    <w:rsid w:val="00993F5B"/>
    <w:rsid w:val="0099461E"/>
    <w:rsid w:val="009C06A4"/>
    <w:rsid w:val="009C1F29"/>
    <w:rsid w:val="009C5364"/>
    <w:rsid w:val="009C7D6E"/>
    <w:rsid w:val="009D45D3"/>
    <w:rsid w:val="009E298E"/>
    <w:rsid w:val="009E39B0"/>
    <w:rsid w:val="00A14486"/>
    <w:rsid w:val="00A173BD"/>
    <w:rsid w:val="00A175F2"/>
    <w:rsid w:val="00A4732C"/>
    <w:rsid w:val="00A5123A"/>
    <w:rsid w:val="00A575C6"/>
    <w:rsid w:val="00A57846"/>
    <w:rsid w:val="00A645D0"/>
    <w:rsid w:val="00A70DF6"/>
    <w:rsid w:val="00A721FB"/>
    <w:rsid w:val="00A72F45"/>
    <w:rsid w:val="00A91FCE"/>
    <w:rsid w:val="00AA68E3"/>
    <w:rsid w:val="00AB2A58"/>
    <w:rsid w:val="00AD2267"/>
    <w:rsid w:val="00AE4947"/>
    <w:rsid w:val="00B21CC7"/>
    <w:rsid w:val="00B345EF"/>
    <w:rsid w:val="00B449D6"/>
    <w:rsid w:val="00B52802"/>
    <w:rsid w:val="00B54C25"/>
    <w:rsid w:val="00B5779E"/>
    <w:rsid w:val="00B70E94"/>
    <w:rsid w:val="00B712F9"/>
    <w:rsid w:val="00B77B5A"/>
    <w:rsid w:val="00B85C71"/>
    <w:rsid w:val="00BA38A6"/>
    <w:rsid w:val="00BA526A"/>
    <w:rsid w:val="00BB42AB"/>
    <w:rsid w:val="00BB7222"/>
    <w:rsid w:val="00BC3C33"/>
    <w:rsid w:val="00BC7BD0"/>
    <w:rsid w:val="00BD02AF"/>
    <w:rsid w:val="00BD1C7E"/>
    <w:rsid w:val="00BE27D2"/>
    <w:rsid w:val="00BE5B3C"/>
    <w:rsid w:val="00BE6DC1"/>
    <w:rsid w:val="00C00A5F"/>
    <w:rsid w:val="00C16D48"/>
    <w:rsid w:val="00C27A74"/>
    <w:rsid w:val="00C308BA"/>
    <w:rsid w:val="00C3645E"/>
    <w:rsid w:val="00C42852"/>
    <w:rsid w:val="00C45C7C"/>
    <w:rsid w:val="00C46BF6"/>
    <w:rsid w:val="00C4721E"/>
    <w:rsid w:val="00C47CB0"/>
    <w:rsid w:val="00C659BA"/>
    <w:rsid w:val="00C935B0"/>
    <w:rsid w:val="00CA1AF7"/>
    <w:rsid w:val="00CA6202"/>
    <w:rsid w:val="00CB39A6"/>
    <w:rsid w:val="00CC5B05"/>
    <w:rsid w:val="00CD3B63"/>
    <w:rsid w:val="00CD46E8"/>
    <w:rsid w:val="00CF6311"/>
    <w:rsid w:val="00D05109"/>
    <w:rsid w:val="00D05792"/>
    <w:rsid w:val="00D12950"/>
    <w:rsid w:val="00D132B6"/>
    <w:rsid w:val="00D2041C"/>
    <w:rsid w:val="00D214E7"/>
    <w:rsid w:val="00D26841"/>
    <w:rsid w:val="00D27401"/>
    <w:rsid w:val="00D352BC"/>
    <w:rsid w:val="00D40EC5"/>
    <w:rsid w:val="00D55348"/>
    <w:rsid w:val="00D65F9E"/>
    <w:rsid w:val="00D74289"/>
    <w:rsid w:val="00D87F31"/>
    <w:rsid w:val="00D923F7"/>
    <w:rsid w:val="00D97960"/>
    <w:rsid w:val="00DA535F"/>
    <w:rsid w:val="00DB1DCE"/>
    <w:rsid w:val="00DB3539"/>
    <w:rsid w:val="00DC517C"/>
    <w:rsid w:val="00DD462E"/>
    <w:rsid w:val="00DD474A"/>
    <w:rsid w:val="00DE0428"/>
    <w:rsid w:val="00DE0E2A"/>
    <w:rsid w:val="00DF1D91"/>
    <w:rsid w:val="00E168D2"/>
    <w:rsid w:val="00E3383D"/>
    <w:rsid w:val="00E43C99"/>
    <w:rsid w:val="00E47D74"/>
    <w:rsid w:val="00E57E63"/>
    <w:rsid w:val="00E73C33"/>
    <w:rsid w:val="00E8503F"/>
    <w:rsid w:val="00E97697"/>
    <w:rsid w:val="00EB3920"/>
    <w:rsid w:val="00EB6751"/>
    <w:rsid w:val="00EC3F59"/>
    <w:rsid w:val="00EC5693"/>
    <w:rsid w:val="00EC6B4D"/>
    <w:rsid w:val="00EE1BDF"/>
    <w:rsid w:val="00EE69C7"/>
    <w:rsid w:val="00EF6779"/>
    <w:rsid w:val="00EF6F35"/>
    <w:rsid w:val="00F026F1"/>
    <w:rsid w:val="00F03215"/>
    <w:rsid w:val="00F16AAE"/>
    <w:rsid w:val="00F177E2"/>
    <w:rsid w:val="00F200A3"/>
    <w:rsid w:val="00F227FA"/>
    <w:rsid w:val="00F25CFC"/>
    <w:rsid w:val="00F32B9D"/>
    <w:rsid w:val="00F40A7A"/>
    <w:rsid w:val="00F42384"/>
    <w:rsid w:val="00F42820"/>
    <w:rsid w:val="00F4333C"/>
    <w:rsid w:val="00F60C71"/>
    <w:rsid w:val="00F67164"/>
    <w:rsid w:val="00F71052"/>
    <w:rsid w:val="00F76F86"/>
    <w:rsid w:val="00F9720A"/>
    <w:rsid w:val="00FA3BFA"/>
    <w:rsid w:val="00FA540B"/>
    <w:rsid w:val="00FC5854"/>
    <w:rsid w:val="00FD5AEB"/>
    <w:rsid w:val="00FD60D6"/>
    <w:rsid w:val="00FE2E6D"/>
    <w:rsid w:val="027F6AB2"/>
    <w:rsid w:val="0D0E115E"/>
    <w:rsid w:val="331309CD"/>
    <w:rsid w:val="36F45A05"/>
    <w:rsid w:val="3AA54601"/>
    <w:rsid w:val="544B7B6F"/>
    <w:rsid w:val="789470BD"/>
    <w:rsid w:val="7B965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5"/>
    <w:semiHidden/>
    <w:unhideWhenUsed/>
    <w:uiPriority w:val="99"/>
    <w:rPr>
      <w:b/>
      <w:bCs/>
    </w:rPr>
  </w:style>
  <w:style w:type="table" w:styleId="8">
    <w:name w:val="Table Grid"/>
    <w:basedOn w:val="7"/>
    <w:uiPriority w:val="99"/>
    <w:rPr>
      <w:rFonts w:cs="Calibri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semiHidden/>
    <w:unhideWhenUsed/>
    <w:uiPriority w:val="99"/>
    <w:rPr>
      <w:sz w:val="21"/>
      <w:szCs w:val="21"/>
    </w:rPr>
  </w:style>
  <w:style w:type="character" w:customStyle="1" w:styleId="11">
    <w:name w:val="页眉 字符"/>
    <w:basedOn w:val="9"/>
    <w:link w:val="5"/>
    <w:locked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locked/>
    <w:uiPriority w:val="99"/>
    <w:rPr>
      <w:sz w:val="18"/>
      <w:szCs w:val="18"/>
    </w:rPr>
  </w:style>
  <w:style w:type="character" w:customStyle="1" w:styleId="13">
    <w:name w:val="批注框文本 字符"/>
    <w:basedOn w:val="9"/>
    <w:link w:val="3"/>
    <w:semiHidden/>
    <w:uiPriority w:val="99"/>
    <w:rPr>
      <w:rFonts w:cs="Calibri"/>
      <w:sz w:val="18"/>
      <w:szCs w:val="18"/>
    </w:rPr>
  </w:style>
  <w:style w:type="character" w:customStyle="1" w:styleId="14">
    <w:name w:val="批注文字 字符"/>
    <w:basedOn w:val="9"/>
    <w:link w:val="2"/>
    <w:semiHidden/>
    <w:uiPriority w:val="99"/>
    <w:rPr>
      <w:rFonts w:cs="Calibri"/>
      <w:szCs w:val="21"/>
    </w:rPr>
  </w:style>
  <w:style w:type="character" w:customStyle="1" w:styleId="15">
    <w:name w:val="批注主题 字符"/>
    <w:basedOn w:val="14"/>
    <w:link w:val="6"/>
    <w:semiHidden/>
    <w:qFormat/>
    <w:uiPriority w:val="99"/>
    <w:rPr>
      <w:rFonts w:cs="Calibri"/>
      <w:b/>
      <w:bCs/>
      <w:szCs w:val="21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F0A525-1D89-4090-B698-C5B6809B54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ZHX</Company>
  <Pages>8</Pages>
  <Words>2200</Words>
  <Characters>2279</Characters>
  <Lines>18</Lines>
  <Paragraphs>5</Paragraphs>
  <TotalTime>11</TotalTime>
  <ScaleCrop>false</ScaleCrop>
  <LinksUpToDate>false</LinksUpToDate>
  <CharactersWithSpaces>2281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2024-03-19T09:51:00Z</dcterms:created>
  <dc:creator>kfdx</dc:creator>
  <cp:lastModifiedBy>卢</cp:lastModifiedBy>
  <cp:lastPrinted>2016-05-10T09:29:00Z</cp:lastPrinted>
  <dcterms:modified xsi:type="dcterms:W3CDTF">2026-03-23T02:00:39Z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eyJoZGlkIjoiYzg0YzE5YjQ0MzMwMGE0NTkzYTlhMjk3NTUyOWI5NDgiLCJ1c2VySWQiOiIyNjgyMDc1MTkifQ==</vt:lpwstr>
  </property>
  <property fmtid="{D5CDD505-2E9C-101B-9397-08002B2CF9AE}" pid="3" name="KSOProductBuildVer">
    <vt:lpwstr>2052-12.1.0.23542</vt:lpwstr>
  </property>
  <property fmtid="{D5CDD505-2E9C-101B-9397-08002B2CF9AE}" pid="4" name="ICV">
    <vt:lpwstr>6A1836235DE1482C91A7C78165411490_12</vt:lpwstr>
  </property>
</Properties>
</file>