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C14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560" w:lineRule="exact"/>
        <w:ind w:left="0" w:right="0"/>
        <w:jc w:val="left"/>
        <w:textAlignment w:val="auto"/>
        <w:rPr>
          <w:rFonts w:hint="default" w:ascii="Times New Roman" w:hAnsi="Times New Roman" w:eastAsia="黑体" w:cs="Times New Roman"/>
          <w:b w:val="0"/>
          <w:bCs w:val="0"/>
          <w:color w:val="000000"/>
          <w:sz w:val="32"/>
          <w:szCs w:val="32"/>
          <w:lang w:val="en-US" w:eastAsia="zh-CN"/>
        </w:rPr>
      </w:pPr>
      <w:r>
        <w:rPr>
          <w:rFonts w:hint="default" w:ascii="Times New Roman" w:hAnsi="Times New Roman" w:eastAsia="黑体" w:cs="Times New Roman"/>
          <w:b w:val="0"/>
          <w:bCs w:val="0"/>
          <w:color w:val="000000"/>
          <w:sz w:val="32"/>
          <w:szCs w:val="32"/>
          <w:lang w:val="en-US" w:eastAsia="zh-CN"/>
        </w:rPr>
        <w:t>附件3</w:t>
      </w:r>
    </w:p>
    <w:p w14:paraId="03536C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540" w:lineRule="exact"/>
        <w:ind w:left="0" w:right="0"/>
        <w:jc w:val="center"/>
        <w:textAlignment w:val="auto"/>
        <w:rPr>
          <w:rFonts w:hint="default" w:ascii="Times New Roman" w:hAnsi="Times New Roman" w:eastAsia="方正小标宋_GBK" w:cs="Times New Roman"/>
          <w:b w:val="0"/>
          <w:bCs w:val="0"/>
          <w:color w:val="000000"/>
          <w:sz w:val="44"/>
          <w:szCs w:val="44"/>
        </w:rPr>
      </w:pPr>
      <w:r>
        <w:rPr>
          <w:rFonts w:hint="default" w:ascii="Times New Roman" w:hAnsi="Times New Roman" w:eastAsia="方正小标宋_GBK" w:cs="Times New Roman"/>
          <w:b w:val="0"/>
          <w:bCs w:val="0"/>
          <w:color w:val="000000"/>
          <w:sz w:val="44"/>
          <w:szCs w:val="44"/>
        </w:rPr>
        <w:t>关于制（修）订2026级三年制高职专业</w:t>
      </w:r>
    </w:p>
    <w:p w14:paraId="559496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540" w:lineRule="exact"/>
        <w:ind w:left="0" w:right="0"/>
        <w:jc w:val="center"/>
        <w:textAlignment w:val="auto"/>
        <w:rPr>
          <w:rFonts w:hint="default" w:ascii="Times New Roman" w:hAnsi="Times New Roman" w:eastAsia="方正小标宋_GBK" w:cs="Times New Roman"/>
          <w:b w:val="0"/>
          <w:bCs w:val="0"/>
          <w:color w:val="000000"/>
          <w:sz w:val="44"/>
          <w:szCs w:val="44"/>
        </w:rPr>
      </w:pPr>
      <w:r>
        <w:rPr>
          <w:rFonts w:hint="default" w:ascii="Times New Roman" w:hAnsi="Times New Roman" w:eastAsia="方正小标宋_GBK" w:cs="Times New Roman"/>
          <w:b w:val="0"/>
          <w:bCs w:val="0"/>
          <w:color w:val="000000"/>
          <w:sz w:val="44"/>
          <w:szCs w:val="44"/>
        </w:rPr>
        <w:t>人才培养方案的原则意见</w:t>
      </w:r>
    </w:p>
    <w:p w14:paraId="2D93529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人才培养方案是学校落实党和国家关于技术技能人才培养总体要求，组织开展教学活动、安排教学任务的规范性文件，是实施专业人才培养和开展质量评价的基本依据。为全面贯彻习近平总书记关于教育的重要论述，依据教育部《关于职业院校专业人才培养方案制订与实施工作的指导意见》（教职成〔2019〕13号）、《关于组织做好职业院校专业人才培养方案制订与实施工作的通知》（教职成司函〔2019〕61号）</w:t>
      </w:r>
      <w:r>
        <w:rPr>
          <w:rFonts w:hint="eastAsia" w:ascii="Times New Roman" w:hAnsi="Times New Roman" w:eastAsia="方正仿宋_GBK" w:cs="Times New Roman"/>
          <w:color w:val="000000"/>
          <w:kern w:val="0"/>
          <w:sz w:val="32"/>
          <w:szCs w:val="32"/>
          <w:lang w:val="en-US" w:eastAsia="zh-CN" w:bidi="ar"/>
        </w:rPr>
        <w:t>、《教育部关于深化职业教育教学关键要素改革的意见》（教职成</w:t>
      </w:r>
      <w:r>
        <w:rPr>
          <w:rFonts w:hint="default" w:ascii="Times New Roman" w:hAnsi="Times New Roman" w:eastAsia="方正仿宋_GBK" w:cs="Times New Roman"/>
          <w:color w:val="000000"/>
          <w:kern w:val="0"/>
          <w:sz w:val="32"/>
          <w:szCs w:val="32"/>
          <w:lang w:val="en-US" w:eastAsia="zh-CN" w:bidi="ar"/>
        </w:rPr>
        <w:t>〔</w:t>
      </w:r>
      <w:r>
        <w:rPr>
          <w:rFonts w:hint="eastAsia" w:ascii="Times New Roman" w:hAnsi="Times New Roman" w:eastAsia="方正仿宋_GBK" w:cs="Times New Roman"/>
          <w:color w:val="000000"/>
          <w:kern w:val="0"/>
          <w:sz w:val="32"/>
          <w:szCs w:val="32"/>
          <w:lang w:val="en-US" w:eastAsia="zh-CN" w:bidi="ar"/>
        </w:rPr>
        <w:t>2026</w:t>
      </w:r>
      <w:r>
        <w:rPr>
          <w:rFonts w:hint="default" w:ascii="Times New Roman" w:hAnsi="Times New Roman" w:eastAsia="方正仿宋_GBK" w:cs="Times New Roman"/>
          <w:color w:val="000000"/>
          <w:kern w:val="0"/>
          <w:sz w:val="32"/>
          <w:szCs w:val="32"/>
          <w:lang w:val="en-US" w:eastAsia="zh-CN" w:bidi="ar"/>
        </w:rPr>
        <w:t>〕1号</w:t>
      </w:r>
      <w:r>
        <w:rPr>
          <w:rFonts w:hint="eastAsia" w:ascii="Times New Roman" w:hAnsi="Times New Roman" w:eastAsia="方正仿宋_GBK" w:cs="Times New Roman"/>
          <w:color w:val="000000"/>
          <w:kern w:val="0"/>
          <w:sz w:val="32"/>
          <w:szCs w:val="32"/>
          <w:lang w:val="en-US" w:eastAsia="zh-CN" w:bidi="ar"/>
        </w:rPr>
        <w:t>）、《江苏省职业教育教学质量提升行动方案（2026-2030年）》（苏教职</w:t>
      </w:r>
      <w:r>
        <w:rPr>
          <w:rFonts w:hint="default" w:ascii="Times New Roman" w:hAnsi="Times New Roman" w:eastAsia="方正仿宋_GBK" w:cs="Times New Roman"/>
          <w:color w:val="000000"/>
          <w:kern w:val="0"/>
          <w:sz w:val="32"/>
          <w:szCs w:val="32"/>
          <w:lang w:val="en-US" w:eastAsia="zh-CN" w:bidi="ar"/>
        </w:rPr>
        <w:t>〔</w:t>
      </w:r>
      <w:r>
        <w:rPr>
          <w:rFonts w:hint="eastAsia" w:ascii="Times New Roman" w:hAnsi="Times New Roman" w:eastAsia="方正仿宋_GBK" w:cs="Times New Roman"/>
          <w:color w:val="000000"/>
          <w:kern w:val="0"/>
          <w:sz w:val="32"/>
          <w:szCs w:val="32"/>
          <w:lang w:val="en-US" w:eastAsia="zh-CN" w:bidi="ar"/>
        </w:rPr>
        <w:t>2026</w:t>
      </w:r>
      <w:r>
        <w:rPr>
          <w:rFonts w:hint="default" w:ascii="Times New Roman" w:hAnsi="Times New Roman" w:eastAsia="方正仿宋_GBK" w:cs="Times New Roman"/>
          <w:color w:val="000000"/>
          <w:kern w:val="0"/>
          <w:sz w:val="32"/>
          <w:szCs w:val="32"/>
          <w:lang w:val="en-US" w:eastAsia="zh-CN" w:bidi="ar"/>
        </w:rPr>
        <w:t>〕1号</w:t>
      </w:r>
      <w:r>
        <w:rPr>
          <w:rFonts w:hint="eastAsia" w:ascii="Times New Roman" w:hAnsi="Times New Roman" w:eastAsia="方正仿宋_GBK" w:cs="Times New Roman"/>
          <w:color w:val="000000"/>
          <w:kern w:val="0"/>
          <w:sz w:val="32"/>
          <w:szCs w:val="32"/>
          <w:lang w:val="en-US" w:eastAsia="zh-CN" w:bidi="ar"/>
        </w:rPr>
        <w:t>）等文件精神，</w:t>
      </w:r>
      <w:r>
        <w:rPr>
          <w:rFonts w:hint="default" w:ascii="Times New Roman" w:hAnsi="Times New Roman" w:eastAsia="方正仿宋_GBK" w:cs="Times New Roman"/>
          <w:color w:val="000000"/>
          <w:kern w:val="0"/>
          <w:sz w:val="32"/>
          <w:szCs w:val="32"/>
          <w:lang w:val="en-US" w:eastAsia="zh-CN" w:bidi="ar"/>
        </w:rPr>
        <w:t>承接2025级人才培养方案改革基础，</w:t>
      </w:r>
      <w:r>
        <w:rPr>
          <w:rFonts w:hint="eastAsia" w:ascii="Times New Roman" w:hAnsi="Times New Roman" w:eastAsia="方正仿宋_GBK" w:cs="Times New Roman"/>
          <w:color w:val="000000"/>
          <w:kern w:val="0"/>
          <w:sz w:val="32"/>
          <w:szCs w:val="32"/>
          <w:lang w:val="en-US" w:eastAsia="zh-CN" w:bidi="ar"/>
        </w:rPr>
        <w:t>紧扣</w:t>
      </w:r>
      <w:r>
        <w:rPr>
          <w:rFonts w:hint="default" w:ascii="Times New Roman" w:hAnsi="Times New Roman" w:eastAsia="方正仿宋_GBK" w:cs="Times New Roman"/>
          <w:b/>
          <w:bCs/>
          <w:color w:val="000000"/>
          <w:kern w:val="0"/>
          <w:sz w:val="32"/>
          <w:szCs w:val="32"/>
          <w:lang w:val="en-US" w:eastAsia="zh-CN" w:bidi="ar"/>
        </w:rPr>
        <w:t>专业改造升级、</w:t>
      </w:r>
      <w:r>
        <w:rPr>
          <w:rFonts w:hint="default" w:ascii="Times New Roman" w:hAnsi="Times New Roman" w:eastAsia="方正仿宋_GBK" w:cs="Times New Roman"/>
          <w:b/>
          <w:bCs/>
          <w:color w:val="000000"/>
          <w:kern w:val="0"/>
          <w:sz w:val="32"/>
          <w:szCs w:val="32"/>
          <w:lang w:eastAsia="zh-CN" w:bidi="ar"/>
          <w:woUserID w:val="1"/>
        </w:rPr>
        <w:t>桥林</w:t>
      </w:r>
      <w:r>
        <w:rPr>
          <w:rFonts w:hint="default" w:ascii="Times New Roman" w:hAnsi="Times New Roman" w:eastAsia="方正仿宋_GBK" w:cs="Times New Roman"/>
          <w:b/>
          <w:bCs/>
          <w:color w:val="000000"/>
          <w:kern w:val="0"/>
          <w:sz w:val="32"/>
          <w:szCs w:val="32"/>
          <w:lang w:val="en-US" w:eastAsia="zh-CN" w:bidi="ar"/>
        </w:rPr>
        <w:t>校区启用、分类招生培养</w:t>
      </w:r>
      <w:r>
        <w:rPr>
          <w:rFonts w:hint="default" w:ascii="Times New Roman" w:hAnsi="Times New Roman" w:eastAsia="方正仿宋_GBK" w:cs="Times New Roman"/>
          <w:color w:val="000000"/>
          <w:kern w:val="0"/>
          <w:sz w:val="32"/>
          <w:szCs w:val="32"/>
          <w:lang w:val="en-US" w:eastAsia="zh-CN" w:bidi="ar"/>
        </w:rPr>
        <w:t>新要求，现就2026级三年制高职专业人才培养方案制（修）订工作提出以下原则意见。</w:t>
      </w:r>
    </w:p>
    <w:p w14:paraId="745ECB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textAlignment w:val="auto"/>
        <w:rPr>
          <w:rFonts w:hint="default" w:ascii="Times New Roman" w:hAnsi="Times New Roman" w:eastAsia="方正黑体_GBK" w:cs="Times New Roman"/>
          <w:b w:val="0"/>
          <w:bCs w:val="0"/>
          <w:color w:val="000000"/>
          <w:sz w:val="32"/>
          <w:szCs w:val="32"/>
        </w:rPr>
      </w:pPr>
      <w:r>
        <w:rPr>
          <w:rFonts w:hint="default" w:ascii="Times New Roman" w:hAnsi="Times New Roman" w:eastAsia="方正黑体_GBK" w:cs="Times New Roman"/>
          <w:b w:val="0"/>
          <w:bCs w:val="0"/>
          <w:color w:val="000000"/>
          <w:sz w:val="32"/>
          <w:szCs w:val="32"/>
        </w:rPr>
        <w:t>一、指导思想</w:t>
      </w:r>
    </w:p>
    <w:p w14:paraId="07A951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以习近平新时代中国特色社会主义思想为指导，落实立德树人根本任务，</w:t>
      </w:r>
      <w:r>
        <w:rPr>
          <w:rFonts w:hint="eastAsia" w:ascii="Times New Roman" w:hAnsi="Times New Roman" w:eastAsia="方正仿宋_GBK" w:cs="Times New Roman"/>
          <w:color w:val="000000"/>
          <w:kern w:val="0"/>
          <w:sz w:val="32"/>
          <w:szCs w:val="32"/>
          <w:lang w:val="en-US" w:eastAsia="zh-CN" w:bidi="ar"/>
        </w:rPr>
        <w:t>持续</w:t>
      </w:r>
      <w:r>
        <w:rPr>
          <w:rFonts w:hint="default" w:ascii="Times New Roman" w:hAnsi="Times New Roman" w:eastAsia="方正仿宋_GBK" w:cs="Times New Roman"/>
          <w:color w:val="000000"/>
          <w:kern w:val="0"/>
          <w:sz w:val="32"/>
          <w:szCs w:val="32"/>
          <w:lang w:val="en-US" w:eastAsia="zh-CN" w:bidi="ar"/>
        </w:rPr>
        <w:t>深化产教融合、科教融汇、岗课赛证融通，强化实践教学</w:t>
      </w:r>
      <w:r>
        <w:rPr>
          <w:rFonts w:hint="eastAsia" w:ascii="Times New Roman" w:hAnsi="Times New Roman" w:eastAsia="方正仿宋_GBK" w:cs="Times New Roman"/>
          <w:color w:val="000000"/>
          <w:kern w:val="0"/>
          <w:sz w:val="32"/>
          <w:szCs w:val="32"/>
          <w:lang w:val="en-US" w:eastAsia="zh-CN" w:bidi="ar"/>
        </w:rPr>
        <w:t>和数字化能力培养。统筹新校区教学资源配置，推进分类精准的人才培养与重点专业的提质升级，构建德智体美劳全面发展的人才培养体系</w:t>
      </w:r>
      <w:r>
        <w:rPr>
          <w:rFonts w:hint="default" w:ascii="Times New Roman" w:hAnsi="Times New Roman" w:eastAsia="方正仿宋_GBK" w:cs="Times New Roman"/>
          <w:color w:val="000000"/>
          <w:kern w:val="0"/>
          <w:sz w:val="32"/>
          <w:szCs w:val="32"/>
          <w:lang w:val="en-US" w:eastAsia="zh-CN" w:bidi="ar"/>
        </w:rPr>
        <w:t>，培养适应区域产业高质量发展需求的高素质技术技能人才。</w:t>
      </w:r>
    </w:p>
    <w:p w14:paraId="2DA268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黑体_GBK" w:cs="Times New Roman"/>
          <w:b w:val="0"/>
          <w:bCs w:val="0"/>
          <w:color w:val="000000"/>
          <w:sz w:val="32"/>
          <w:szCs w:val="32"/>
        </w:rPr>
      </w:pPr>
      <w:r>
        <w:rPr>
          <w:rFonts w:hint="default" w:ascii="Times New Roman" w:hAnsi="Times New Roman" w:eastAsia="方正黑体_GBK" w:cs="Times New Roman"/>
          <w:b w:val="0"/>
          <w:bCs w:val="0"/>
          <w:color w:val="000000"/>
          <w:sz w:val="32"/>
          <w:szCs w:val="32"/>
        </w:rPr>
        <w:t>二、基本原则</w:t>
      </w:r>
    </w:p>
    <w:p w14:paraId="7D7BE08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（一）育人为本，全面发展</w:t>
      </w:r>
    </w:p>
    <w:p w14:paraId="4A793F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lang w:val="en-US"/>
        </w:rPr>
      </w:pPr>
      <w:r>
        <w:rPr>
          <w:rFonts w:hint="eastAsia" w:ascii="Times New Roman" w:hAnsi="Times New Roman" w:eastAsia="方正仿宋_GBK" w:cs="Times New Roman"/>
          <w:color w:val="000000"/>
          <w:kern w:val="0"/>
          <w:sz w:val="32"/>
          <w:szCs w:val="32"/>
          <w:lang w:val="en-US" w:eastAsia="zh-CN" w:bidi="ar"/>
        </w:rPr>
        <w:t>坚持育人为本，推动习近平新时代中国特色社会主义思想进教材、进课堂、进头脑，强化思政课程与课程思政协同发力</w:t>
      </w:r>
      <w:r>
        <w:rPr>
          <w:rFonts w:hint="default" w:ascii="Times New Roman" w:hAnsi="Times New Roman" w:eastAsia="方正仿宋_GBK" w:cs="Times New Roman"/>
          <w:color w:val="000000"/>
          <w:kern w:val="0"/>
          <w:sz w:val="32"/>
          <w:szCs w:val="32"/>
          <w:lang w:val="en-US" w:eastAsia="zh-CN" w:bidi="ar"/>
        </w:rPr>
        <w:t>。</w:t>
      </w:r>
      <w:r>
        <w:rPr>
          <w:rFonts w:hint="eastAsia" w:ascii="Times New Roman" w:hAnsi="Times New Roman" w:eastAsia="方正仿宋_GBK" w:cs="Times New Roman"/>
          <w:color w:val="000000"/>
          <w:kern w:val="0"/>
          <w:sz w:val="32"/>
          <w:szCs w:val="32"/>
          <w:lang w:val="en-US" w:eastAsia="zh-CN" w:bidi="ar"/>
        </w:rPr>
        <w:t>将职业精神、专业精神、工匠精神、劳模精神贯穿人才培养全过程，统筹美育、体育、劳动教育与心理健康教育，促进学生知识、能力、素质协同提升。</w:t>
      </w:r>
    </w:p>
    <w:p w14:paraId="75CEE87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eastAsia" w:ascii="Times New Roman" w:hAnsi="Times New Roman" w:eastAsia="方正楷体_GBK" w:cs="Times New Roman"/>
          <w:b w:val="0"/>
          <w:bCs w:val="0"/>
          <w:color w:val="000000"/>
          <w:sz w:val="32"/>
          <w:szCs w:val="32"/>
          <w:lang w:eastAsia="zh-CN"/>
        </w:rPr>
      </w:pPr>
      <w:r>
        <w:rPr>
          <w:rFonts w:hint="default" w:ascii="Times New Roman" w:hAnsi="Times New Roman" w:eastAsia="方正楷体_GBK" w:cs="Times New Roman"/>
          <w:b w:val="0"/>
          <w:bCs w:val="0"/>
          <w:color w:val="000000"/>
          <w:sz w:val="32"/>
          <w:szCs w:val="32"/>
        </w:rPr>
        <w:t>（二）产教融合，标准</w:t>
      </w:r>
      <w:r>
        <w:rPr>
          <w:rFonts w:hint="eastAsia" w:ascii="Times New Roman" w:hAnsi="Times New Roman" w:eastAsia="方正楷体_GBK" w:cs="Times New Roman"/>
          <w:b w:val="0"/>
          <w:bCs w:val="0"/>
          <w:color w:val="000000"/>
          <w:sz w:val="32"/>
          <w:szCs w:val="32"/>
          <w:lang w:val="en-US" w:eastAsia="zh-CN"/>
        </w:rPr>
        <w:t>先行</w:t>
      </w:r>
    </w:p>
    <w:p w14:paraId="4243FD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kern w:val="0"/>
          <w:sz w:val="32"/>
          <w:szCs w:val="32"/>
          <w:lang w:val="en-US" w:eastAsia="zh-CN" w:bidi="ar"/>
        </w:rPr>
        <w:t>落实</w:t>
      </w:r>
      <w:r>
        <w:rPr>
          <w:rFonts w:hint="eastAsia" w:ascii="Times New Roman" w:hAnsi="Times New Roman" w:eastAsia="方正仿宋_GBK" w:cs="Times New Roman"/>
          <w:b/>
          <w:bCs/>
          <w:color w:val="000000"/>
          <w:kern w:val="0"/>
          <w:sz w:val="32"/>
          <w:szCs w:val="32"/>
          <w:lang w:val="en-US" w:eastAsia="zh-CN" w:bidi="ar"/>
        </w:rPr>
        <w:t>专业设置与产业需求、课程内容与职业标准、教学过程与生产过程</w:t>
      </w:r>
      <w:r>
        <w:rPr>
          <w:rFonts w:hint="eastAsia" w:ascii="Times New Roman" w:hAnsi="Times New Roman" w:eastAsia="方正仿宋_GBK" w:cs="Times New Roman"/>
          <w:color w:val="000000"/>
          <w:kern w:val="0"/>
          <w:sz w:val="32"/>
          <w:szCs w:val="32"/>
          <w:lang w:val="en-US" w:eastAsia="zh-CN" w:bidi="ar"/>
        </w:rPr>
        <w:t>对接，推动行业企业深度参与方案研制、课程开发、实训教学与质量评价。严格对标国家职业教育专业教学标准，将产业新方法、新技术、新工艺、新标准、新装备融入教学内容，实现人才培养与区域产业发展同频同步</w:t>
      </w:r>
      <w:r>
        <w:rPr>
          <w:rFonts w:hint="default" w:ascii="Times New Roman" w:hAnsi="Times New Roman" w:eastAsia="方正仿宋_GBK" w:cs="Times New Roman"/>
          <w:color w:val="000000"/>
          <w:kern w:val="0"/>
          <w:sz w:val="32"/>
          <w:szCs w:val="32"/>
          <w:lang w:val="en-US" w:eastAsia="zh-CN" w:bidi="ar"/>
        </w:rPr>
        <w:t>。</w:t>
      </w:r>
    </w:p>
    <w:p w14:paraId="289E3CC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（三）就业导向，</w:t>
      </w:r>
      <w:r>
        <w:rPr>
          <w:rFonts w:hint="eastAsia" w:ascii="Times New Roman" w:hAnsi="Times New Roman" w:eastAsia="方正楷体_GBK" w:cs="Times New Roman"/>
          <w:b w:val="0"/>
          <w:bCs w:val="0"/>
          <w:color w:val="000000"/>
          <w:sz w:val="32"/>
          <w:szCs w:val="32"/>
          <w:lang w:val="en-US" w:eastAsia="zh-CN"/>
        </w:rPr>
        <w:t>数智</w:t>
      </w:r>
      <w:r>
        <w:rPr>
          <w:rFonts w:hint="default" w:ascii="Times New Roman" w:hAnsi="Times New Roman" w:eastAsia="方正楷体_GBK" w:cs="Times New Roman"/>
          <w:b w:val="0"/>
          <w:bCs w:val="0"/>
          <w:color w:val="000000"/>
          <w:sz w:val="32"/>
          <w:szCs w:val="32"/>
        </w:rPr>
        <w:t>赋能</w:t>
      </w:r>
    </w:p>
    <w:p w14:paraId="350EC9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lang w:val="en-US"/>
        </w:rPr>
      </w:pPr>
      <w:r>
        <w:rPr>
          <w:rFonts w:hint="eastAsia" w:ascii="Times New Roman" w:hAnsi="Times New Roman" w:eastAsia="方正仿宋_GBK" w:cs="Times New Roman"/>
          <w:color w:val="000000"/>
          <w:kern w:val="0"/>
          <w:sz w:val="32"/>
          <w:szCs w:val="32"/>
          <w:lang w:val="en-US" w:eastAsia="zh-CN" w:bidi="ar"/>
        </w:rPr>
        <w:t>以就业质量与用人单位满意度为核心评价指标，</w:t>
      </w:r>
      <w:r>
        <w:rPr>
          <w:rFonts w:hint="eastAsia" w:ascii="Times New Roman" w:hAnsi="Times New Roman" w:eastAsia="方正仿宋_GBK" w:cs="Times New Roman"/>
          <w:b/>
          <w:bCs/>
          <w:color w:val="000000"/>
          <w:kern w:val="0"/>
          <w:sz w:val="32"/>
          <w:szCs w:val="32"/>
          <w:lang w:val="en-US" w:eastAsia="zh-CN" w:bidi="ar"/>
        </w:rPr>
        <w:t>系统开展岗位能力分析与人才需求调研，构建专业（群）的课程体系与人才培养规格支撑矩阵表，精准对接岗位需求，有效支撑人才培养目标达成</w:t>
      </w:r>
      <w:r>
        <w:rPr>
          <w:rFonts w:hint="default" w:ascii="Times New Roman" w:hAnsi="Times New Roman" w:eastAsia="方正仿宋_GBK" w:cs="Times New Roman"/>
          <w:color w:val="000000"/>
          <w:kern w:val="0"/>
          <w:sz w:val="32"/>
          <w:szCs w:val="32"/>
          <w:lang w:val="en-US" w:eastAsia="zh-CN" w:bidi="ar"/>
        </w:rPr>
        <w:t>。</w:t>
      </w:r>
      <w:r>
        <w:rPr>
          <w:rFonts w:hint="eastAsia" w:ascii="Times New Roman" w:hAnsi="Times New Roman" w:eastAsia="方正仿宋_GBK" w:cs="Times New Roman"/>
          <w:color w:val="000000"/>
          <w:kern w:val="0"/>
          <w:sz w:val="32"/>
          <w:szCs w:val="32"/>
          <w:lang w:val="en-US" w:eastAsia="zh-CN" w:bidi="ar"/>
        </w:rPr>
        <w:t>以“人工智能+”为抓手，推进人工智能课程与模块化教学改革，将人工智能应用能力嵌入专业培养链条，提升学生数字素养与复合技术技能。</w:t>
      </w:r>
    </w:p>
    <w:p w14:paraId="0387E1E9">
      <w:pPr>
        <w:pStyle w:val="4"/>
        <w:keepNext w:val="0"/>
        <w:keepLines w:val="0"/>
        <w:pageBreakBefore w:val="0"/>
        <w:widowControl w:val="0"/>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分类培养，精准施教</w:t>
      </w:r>
    </w:p>
    <w:p w14:paraId="55D372ED">
      <w:pPr>
        <w:pStyle w:val="4"/>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firstLine="643" w:firstLineChars="200"/>
        <w:jc w:val="left"/>
        <w:textAlignment w:val="auto"/>
        <w:outlineLvl w:val="2"/>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kern w:val="0"/>
          <w:sz w:val="32"/>
          <w:szCs w:val="32"/>
          <w:lang w:val="en-US" w:eastAsia="zh-CN" w:bidi="ar"/>
        </w:rPr>
        <w:t>根据学校招生计划，</w:t>
      </w:r>
      <w:r>
        <w:rPr>
          <w:rFonts w:hint="eastAsia" w:ascii="Times New Roman" w:hAnsi="Times New Roman" w:eastAsia="方正仿宋_GBK" w:cs="Times New Roman"/>
          <w:b w:val="0"/>
          <w:bCs w:val="0"/>
          <w:color w:val="000000"/>
          <w:kern w:val="0"/>
          <w:sz w:val="32"/>
          <w:szCs w:val="32"/>
          <w:lang w:val="en-US" w:eastAsia="zh-CN" w:bidi="ar"/>
        </w:rPr>
        <w:t>面向高考统招（含提前招生）、职教高考两类生源的</w:t>
      </w:r>
      <w:r>
        <w:rPr>
          <w:rFonts w:hint="eastAsia" w:ascii="Times New Roman" w:hAnsi="Times New Roman" w:eastAsia="方正仿宋_GBK" w:cs="Times New Roman"/>
          <w:b/>
          <w:bCs/>
          <w:color w:val="000000"/>
          <w:kern w:val="0"/>
          <w:sz w:val="32"/>
          <w:szCs w:val="32"/>
          <w:lang w:val="en-US" w:eastAsia="zh-CN" w:bidi="ar"/>
        </w:rPr>
        <w:t>现代物流管理、连锁经营与管理、网络营销与直播电商、智能建造技术、软件技术、工业机器人技术、人物形象设计7个专业须</w:t>
      </w:r>
      <w:r>
        <w:rPr>
          <w:rFonts w:hint="default" w:ascii="Times New Roman" w:hAnsi="Times New Roman" w:eastAsia="方正仿宋_GBK" w:cs="Times New Roman"/>
          <w:b/>
          <w:bCs/>
          <w:color w:val="000000"/>
          <w:kern w:val="0"/>
          <w:sz w:val="32"/>
          <w:szCs w:val="32"/>
          <w:lang w:val="en-US" w:eastAsia="zh-CN" w:bidi="ar"/>
        </w:rPr>
        <w:t>按照</w:t>
      </w:r>
      <w:r>
        <w:rPr>
          <w:rFonts w:hint="eastAsia" w:ascii="Times New Roman" w:hAnsi="Times New Roman" w:eastAsia="方正仿宋_GBK" w:cs="Times New Roman"/>
          <w:b/>
          <w:bCs/>
          <w:color w:val="000000"/>
          <w:kern w:val="0"/>
          <w:sz w:val="32"/>
          <w:szCs w:val="32"/>
          <w:lang w:val="en-US" w:eastAsia="zh-CN" w:bidi="ar"/>
        </w:rPr>
        <w:t>不同</w:t>
      </w:r>
      <w:r>
        <w:rPr>
          <w:rFonts w:hint="default" w:ascii="Times New Roman" w:hAnsi="Times New Roman" w:eastAsia="方正仿宋_GBK" w:cs="Times New Roman"/>
          <w:b/>
          <w:bCs/>
          <w:color w:val="000000"/>
          <w:kern w:val="0"/>
          <w:sz w:val="32"/>
          <w:szCs w:val="32"/>
          <w:lang w:val="en-US" w:eastAsia="zh-CN" w:bidi="ar"/>
        </w:rPr>
        <w:t>生源特点，分类制定人才培养方案</w:t>
      </w:r>
      <w:r>
        <w:rPr>
          <w:rFonts w:hint="default" w:ascii="Times New Roman" w:hAnsi="Times New Roman" w:eastAsia="方正仿宋_GBK" w:cs="Times New Roman"/>
          <w:color w:val="000000"/>
          <w:kern w:val="0"/>
          <w:sz w:val="32"/>
          <w:szCs w:val="32"/>
          <w:lang w:val="en-US" w:eastAsia="zh-CN" w:bidi="ar"/>
        </w:rPr>
        <w:t>，实施</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一类一案</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培养模式。科学设置课程难度、教学进度与实践环节，实现因材施教、精准育人，全面提升人才培养针对性与适配度。</w:t>
      </w:r>
    </w:p>
    <w:p w14:paraId="72857C1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eastAsia" w:ascii="Times New Roman" w:hAnsi="Times New Roman" w:eastAsia="方正楷体_GBK" w:cs="Times New Roman"/>
          <w:b w:val="0"/>
          <w:bCs w:val="0"/>
          <w:color w:val="000000"/>
          <w:sz w:val="32"/>
          <w:szCs w:val="32"/>
          <w:lang w:val="en-US" w:eastAsia="zh-CN"/>
        </w:rPr>
      </w:pPr>
      <w:r>
        <w:rPr>
          <w:rFonts w:hint="default" w:ascii="Times New Roman" w:hAnsi="Times New Roman" w:eastAsia="方正楷体_GBK" w:cs="Times New Roman"/>
          <w:b w:val="0"/>
          <w:bCs w:val="0"/>
          <w:color w:val="000000"/>
          <w:sz w:val="32"/>
          <w:szCs w:val="32"/>
        </w:rPr>
        <w:t>（五）适配新校，规范</w:t>
      </w:r>
      <w:r>
        <w:rPr>
          <w:rFonts w:hint="eastAsia" w:ascii="Times New Roman" w:hAnsi="Times New Roman" w:eastAsia="方正楷体_GBK" w:cs="Times New Roman"/>
          <w:b w:val="0"/>
          <w:bCs w:val="0"/>
          <w:color w:val="000000"/>
          <w:sz w:val="32"/>
          <w:szCs w:val="32"/>
          <w:lang w:val="en-US" w:eastAsia="zh-CN"/>
        </w:rPr>
        <w:t>运行</w:t>
      </w:r>
    </w:p>
    <w:p w14:paraId="367A47D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紧扣</w:t>
      </w:r>
      <w:r>
        <w:rPr>
          <w:rFonts w:hint="default" w:ascii="Times New Roman" w:hAnsi="Times New Roman" w:eastAsia="方正仿宋_GBK" w:cs="Times New Roman"/>
          <w:color w:val="000000"/>
          <w:kern w:val="0"/>
          <w:sz w:val="32"/>
          <w:szCs w:val="32"/>
          <w:lang w:eastAsia="zh-CN" w:bidi="ar"/>
          <w:woUserID w:val="1"/>
        </w:rPr>
        <w:t>桥林</w:t>
      </w:r>
      <w:r>
        <w:rPr>
          <w:rFonts w:hint="default" w:ascii="Times New Roman" w:hAnsi="Times New Roman" w:eastAsia="方正仿宋_GBK" w:cs="Times New Roman"/>
          <w:color w:val="000000"/>
          <w:kern w:val="0"/>
          <w:sz w:val="32"/>
          <w:szCs w:val="32"/>
          <w:lang w:val="en-US" w:eastAsia="zh-CN" w:bidi="ar"/>
        </w:rPr>
        <w:t>校区实训资源布局</w:t>
      </w:r>
      <w:r>
        <w:rPr>
          <w:rFonts w:hint="eastAsia" w:ascii="Times New Roman" w:hAnsi="Times New Roman" w:eastAsia="方正仿宋_GBK" w:cs="Times New Roman"/>
          <w:color w:val="000000"/>
          <w:kern w:val="0"/>
          <w:sz w:val="32"/>
          <w:szCs w:val="32"/>
          <w:lang w:val="en-US" w:eastAsia="zh-CN" w:bidi="ar"/>
        </w:rPr>
        <w:t>与教学运行要求</w:t>
      </w:r>
      <w:r>
        <w:rPr>
          <w:rFonts w:hint="default"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b/>
          <w:bCs/>
          <w:color w:val="000000"/>
          <w:kern w:val="0"/>
          <w:sz w:val="32"/>
          <w:szCs w:val="32"/>
          <w:lang w:val="en-US" w:eastAsia="zh-CN" w:bidi="ar"/>
        </w:rPr>
        <w:t>文科专业实验实训课程统一调整至第三学期及以后开设</w:t>
      </w:r>
      <w:r>
        <w:rPr>
          <w:rFonts w:hint="default" w:ascii="Times New Roman" w:hAnsi="Times New Roman" w:eastAsia="方正仿宋_GBK" w:cs="Times New Roman"/>
          <w:color w:val="000000"/>
          <w:kern w:val="0"/>
          <w:sz w:val="32"/>
          <w:szCs w:val="32"/>
          <w:lang w:val="en-US" w:eastAsia="zh-CN" w:bidi="ar"/>
        </w:rPr>
        <w:t>，科学配置实训资源，规范教学运行秩序，保障实践教学条件与培养质量同步提升。</w:t>
      </w:r>
    </w:p>
    <w:p w14:paraId="03C44B2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（六）重点升级，持续改进</w:t>
      </w:r>
    </w:p>
    <w:p w14:paraId="6C376E2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kern w:val="0"/>
          <w:sz w:val="32"/>
          <w:szCs w:val="32"/>
          <w:lang w:val="en-US" w:eastAsia="zh-CN" w:bidi="ar"/>
        </w:rPr>
        <w:t>列入《江苏省职业教育改造升级专业指导目录》中</w:t>
      </w:r>
      <w:r>
        <w:rPr>
          <w:rFonts w:hint="default" w:ascii="Times New Roman" w:hAnsi="Times New Roman" w:eastAsia="方正仿宋_GBK" w:cs="Times New Roman"/>
          <w:color w:val="000000"/>
          <w:kern w:val="0"/>
          <w:sz w:val="32"/>
          <w:szCs w:val="32"/>
          <w:lang w:val="en-US" w:eastAsia="zh-CN" w:bidi="ar"/>
        </w:rPr>
        <w:t>的</w:t>
      </w:r>
      <w:r>
        <w:rPr>
          <w:rFonts w:hint="eastAsia" w:ascii="Times New Roman" w:hAnsi="Times New Roman" w:eastAsia="方正仿宋_GBK" w:cs="Times New Roman"/>
          <w:b/>
          <w:bCs/>
          <w:color w:val="000000"/>
          <w:kern w:val="0"/>
          <w:sz w:val="32"/>
          <w:szCs w:val="32"/>
          <w:lang w:val="en-US" w:eastAsia="zh-CN" w:bidi="ar"/>
        </w:rPr>
        <w:t>环境监测技术、建筑室内设计、工程造价、软件技术、视觉传达设计</w:t>
      </w:r>
      <w:r>
        <w:rPr>
          <w:rFonts w:hint="default" w:ascii="Times New Roman" w:hAnsi="Times New Roman" w:eastAsia="方正仿宋_GBK" w:cs="Times New Roman"/>
          <w:b/>
          <w:bCs/>
          <w:color w:val="000000"/>
          <w:kern w:val="0"/>
          <w:sz w:val="32"/>
          <w:szCs w:val="32"/>
          <w:lang w:val="en-US" w:eastAsia="zh-CN" w:bidi="ar"/>
        </w:rPr>
        <w:t>5个改造升级专业</w:t>
      </w:r>
      <w:r>
        <w:rPr>
          <w:rFonts w:hint="eastAsia" w:ascii="Times New Roman" w:hAnsi="Times New Roman" w:eastAsia="方正仿宋_GBK" w:cs="Times New Roman"/>
          <w:b/>
          <w:bCs/>
          <w:color w:val="000000"/>
          <w:kern w:val="0"/>
          <w:sz w:val="32"/>
          <w:szCs w:val="32"/>
          <w:lang w:val="en-US" w:eastAsia="zh-CN" w:bidi="ar"/>
        </w:rPr>
        <w:t>的人才培养方案</w:t>
      </w:r>
      <w:r>
        <w:rPr>
          <w:rFonts w:hint="default" w:ascii="Times New Roman" w:hAnsi="Times New Roman" w:eastAsia="方正仿宋_GBK" w:cs="Times New Roman"/>
          <w:b/>
          <w:bCs/>
          <w:color w:val="000000"/>
          <w:kern w:val="0"/>
          <w:sz w:val="32"/>
          <w:szCs w:val="32"/>
          <w:lang w:val="en-US" w:eastAsia="zh-CN" w:bidi="ar"/>
        </w:rPr>
        <w:t>实行刚性</w:t>
      </w:r>
      <w:r>
        <w:rPr>
          <w:rFonts w:hint="eastAsia" w:ascii="Times New Roman" w:hAnsi="Times New Roman" w:eastAsia="方正仿宋_GBK" w:cs="Times New Roman"/>
          <w:b/>
          <w:bCs/>
          <w:color w:val="000000"/>
          <w:kern w:val="0"/>
          <w:sz w:val="32"/>
          <w:szCs w:val="32"/>
          <w:lang w:val="en-US" w:eastAsia="zh-CN" w:bidi="ar"/>
        </w:rPr>
        <w:t>调整</w:t>
      </w:r>
      <w:r>
        <w:rPr>
          <w:rFonts w:hint="default" w:ascii="Times New Roman" w:hAnsi="Times New Roman" w:eastAsia="方正仿宋_GBK" w:cs="Times New Roman"/>
          <w:color w:val="000000"/>
          <w:kern w:val="0"/>
          <w:sz w:val="32"/>
          <w:szCs w:val="32"/>
          <w:lang w:val="en-US" w:eastAsia="zh-CN" w:bidi="ar"/>
        </w:rPr>
        <w:t>，</w:t>
      </w:r>
      <w:r>
        <w:rPr>
          <w:rFonts w:hint="eastAsia" w:ascii="Times New Roman" w:hAnsi="Times New Roman" w:eastAsia="方正仿宋_GBK" w:cs="Times New Roman"/>
          <w:color w:val="000000"/>
          <w:kern w:val="0"/>
          <w:sz w:val="32"/>
          <w:szCs w:val="32"/>
          <w:lang w:val="en-US" w:eastAsia="zh-CN" w:bidi="ar"/>
        </w:rPr>
        <w:t>如</w:t>
      </w:r>
      <w:r>
        <w:rPr>
          <w:rFonts w:hint="default" w:ascii="Times New Roman" w:hAnsi="Times New Roman" w:eastAsia="方正仿宋_GBK" w:cs="Times New Roman"/>
          <w:color w:val="000000"/>
          <w:kern w:val="0"/>
          <w:sz w:val="32"/>
          <w:szCs w:val="32"/>
          <w:lang w:val="en-US" w:eastAsia="zh-CN" w:bidi="ar"/>
        </w:rPr>
        <w:t>2025级未实施重大调整的专业，2026级</w:t>
      </w:r>
      <w:r>
        <w:rPr>
          <w:rFonts w:hint="eastAsia" w:ascii="Times New Roman" w:hAnsi="Times New Roman" w:eastAsia="方正仿宋_GBK" w:cs="Times New Roman"/>
          <w:color w:val="000000"/>
          <w:kern w:val="0"/>
          <w:sz w:val="32"/>
          <w:szCs w:val="32"/>
          <w:lang w:val="en-US" w:eastAsia="zh-CN" w:bidi="ar"/>
        </w:rPr>
        <w:t>须严格对照《</w:t>
      </w:r>
      <w:r>
        <w:rPr>
          <w:rFonts w:hint="eastAsia" w:ascii="Times New Roman" w:hAnsi="Times New Roman" w:eastAsia="方正仿宋_GBK" w:cs="Times New Roman"/>
          <w:sz w:val="32"/>
          <w:szCs w:val="32"/>
        </w:rPr>
        <w:t>职业教育专业教学标准</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b/>
          <w:bCs/>
          <w:color w:val="000000"/>
          <w:kern w:val="0"/>
          <w:sz w:val="32"/>
          <w:szCs w:val="32"/>
          <w:lang w:val="en-US" w:eastAsia="zh-CN" w:bidi="ar"/>
        </w:rPr>
        <w:t>重构培养目标与规格、重组核心课程体系、优化实践教学安排、更新教学内容与评价方式</w:t>
      </w:r>
      <w:r>
        <w:rPr>
          <w:rFonts w:hint="default" w:ascii="Times New Roman" w:hAnsi="Times New Roman" w:eastAsia="方正仿宋_GBK" w:cs="Times New Roman"/>
          <w:color w:val="000000"/>
          <w:kern w:val="0"/>
          <w:sz w:val="32"/>
          <w:szCs w:val="32"/>
          <w:lang w:val="en-US" w:eastAsia="zh-CN" w:bidi="ar"/>
        </w:rPr>
        <w:t>，确保专业改造升级取得实效。完善</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教学—评价—反馈—改进</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质量闭环，基于产业发展趋势与岗位能力变化及时优化方案，确保人才培养与行业企业发展同步。</w:t>
      </w:r>
    </w:p>
    <w:p w14:paraId="38DA15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黑体_GBK" w:cs="Times New Roman"/>
          <w:b w:val="0"/>
          <w:bCs w:val="0"/>
          <w:color w:val="000000"/>
          <w:sz w:val="32"/>
          <w:szCs w:val="32"/>
        </w:rPr>
      </w:pPr>
      <w:r>
        <w:rPr>
          <w:rFonts w:hint="default" w:ascii="Times New Roman" w:hAnsi="Times New Roman" w:eastAsia="方正黑体_GBK" w:cs="Times New Roman"/>
          <w:b w:val="0"/>
          <w:bCs w:val="0"/>
          <w:color w:val="000000"/>
          <w:sz w:val="32"/>
          <w:szCs w:val="32"/>
        </w:rPr>
        <w:t>三、人才培养方案的总体设计</w:t>
      </w:r>
    </w:p>
    <w:p w14:paraId="628D8F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（一）整体框架</w:t>
      </w:r>
    </w:p>
    <w:p w14:paraId="6B6542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 专业名称及代码；</w:t>
      </w:r>
    </w:p>
    <w:p w14:paraId="111C5A4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2. 教育类型及学历层次；</w:t>
      </w:r>
    </w:p>
    <w:p w14:paraId="65F11C7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3. 入学要求；</w:t>
      </w:r>
    </w:p>
    <w:p w14:paraId="3246E0B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4. 学制；</w:t>
      </w:r>
    </w:p>
    <w:p w14:paraId="579436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5. 培养目标与培养规格；</w:t>
      </w:r>
    </w:p>
    <w:p w14:paraId="3E0EED3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6. 职业面向及职业能力；</w:t>
      </w:r>
    </w:p>
    <w:p w14:paraId="416F6B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7. 课程方案与学时分配；</w:t>
      </w:r>
    </w:p>
    <w:p w14:paraId="70E3AB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8. 各教学环节周数分配；</w:t>
      </w:r>
    </w:p>
    <w:p w14:paraId="6EBDB9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9. 主要课程及要求；</w:t>
      </w:r>
    </w:p>
    <w:p w14:paraId="58E75AF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10.</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形势与政策</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课说明；</w:t>
      </w:r>
    </w:p>
    <w:p w14:paraId="7A6FFDB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11. 第二课堂活动的设计与安排；</w:t>
      </w:r>
    </w:p>
    <w:p w14:paraId="4B7A3E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12. 毕业要求；</w:t>
      </w:r>
    </w:p>
    <w:p w14:paraId="3193DD4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13. 实施保障。</w:t>
      </w:r>
    </w:p>
    <w:p w14:paraId="2316EE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（二）主要内容及要求</w:t>
      </w:r>
    </w:p>
    <w:p w14:paraId="52D6F6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rPr>
        <w:t>1. 总体要求</w:t>
      </w:r>
    </w:p>
    <w:p w14:paraId="2E5EE1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（1）原则上总学分不超过133学分，总学时控制在2500~2700学时之间。</w:t>
      </w:r>
    </w:p>
    <w:p w14:paraId="5F6AADB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（2）每学年教学周数为40周，每学期教学周数为20周。</w:t>
      </w:r>
    </w:p>
    <w:p w14:paraId="7BC0CC9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（3）每学期各周周学时数为20~30学时，且相对均衡。</w:t>
      </w:r>
    </w:p>
    <w:p w14:paraId="0F8B37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（4）实践性教学学时不少于总学时的50%</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公共选修课与专业选修课学时之和不少于总学时10%</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公共基础课程学时应当不少于总学时的1/4。</w:t>
      </w:r>
    </w:p>
    <w:p w14:paraId="2D22E1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（5）原则上专业（群）基础课程和专业中阶/高阶课程中考试课程占比应在50%以上（不</w:t>
      </w:r>
      <w:r>
        <w:rPr>
          <w:rFonts w:hint="eastAsia" w:ascii="Times New Roman" w:hAnsi="Times New Roman" w:eastAsia="方正仿宋_GBK" w:cs="Times New Roman"/>
          <w:color w:val="000000"/>
          <w:kern w:val="0"/>
          <w:sz w:val="32"/>
          <w:szCs w:val="32"/>
          <w:lang w:val="en-US" w:eastAsia="zh-CN" w:bidi="ar"/>
        </w:rPr>
        <w:t>含</w:t>
      </w:r>
      <w:r>
        <w:rPr>
          <w:rFonts w:hint="default" w:ascii="Times New Roman" w:hAnsi="Times New Roman" w:eastAsia="方正仿宋_GBK" w:cs="Times New Roman"/>
          <w:color w:val="000000"/>
          <w:kern w:val="0"/>
          <w:sz w:val="32"/>
          <w:szCs w:val="32"/>
          <w:lang w:val="en-US" w:eastAsia="zh-CN" w:bidi="ar"/>
        </w:rPr>
        <w:t>认识实习、集中实训、岗位实习和毕业设计），公共基础课程由开课学院确定考核类别，其他课程由各二级学院确定考核类别，严格考核过程。</w:t>
      </w:r>
    </w:p>
    <w:p w14:paraId="777A550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kern w:val="0"/>
          <w:sz w:val="32"/>
          <w:szCs w:val="32"/>
          <w:lang w:val="en-US" w:eastAsia="zh-CN" w:bidi="ar"/>
        </w:rPr>
      </w:pPr>
      <w:r>
        <w:rPr>
          <w:rFonts w:hint="eastAsia" w:ascii="Times New Roman" w:hAnsi="Times New Roman" w:eastAsia="方正仿宋_GBK" w:cs="Times New Roman"/>
          <w:color w:val="000000"/>
          <w:kern w:val="0"/>
          <w:sz w:val="32"/>
          <w:szCs w:val="32"/>
          <w:lang w:val="en-US" w:eastAsia="zh-CN" w:bidi="ar"/>
        </w:rPr>
        <w:t>（6）</w:t>
      </w:r>
      <w:r>
        <w:rPr>
          <w:rFonts w:hint="default" w:ascii="Times New Roman" w:hAnsi="Times New Roman" w:eastAsia="方正仿宋_GBK" w:cs="Times New Roman"/>
          <w:color w:val="000000"/>
          <w:kern w:val="0"/>
          <w:sz w:val="32"/>
          <w:szCs w:val="32"/>
          <w:lang w:val="en-US" w:eastAsia="zh-CN" w:bidi="ar"/>
        </w:rPr>
        <w:t>专业课程内容要明确对接职业岗位（群）能力要求，并</w:t>
      </w:r>
      <w:r>
        <w:rPr>
          <w:rFonts w:hint="default" w:ascii="Times New Roman" w:hAnsi="Times New Roman" w:eastAsia="方正仿宋_GBK" w:cs="Times New Roman"/>
          <w:b/>
          <w:bCs/>
          <w:color w:val="auto"/>
          <w:kern w:val="0"/>
          <w:sz w:val="32"/>
          <w:szCs w:val="32"/>
          <w:lang w:val="en-US" w:eastAsia="zh-CN" w:bidi="ar"/>
        </w:rPr>
        <w:t>绘制专业课课程能力图谱</w:t>
      </w:r>
      <w:r>
        <w:rPr>
          <w:rFonts w:hint="default" w:ascii="Times New Roman" w:hAnsi="Times New Roman" w:eastAsia="方正仿宋_GBK" w:cs="Times New Roman"/>
          <w:color w:val="000000"/>
          <w:kern w:val="0"/>
          <w:sz w:val="32"/>
          <w:szCs w:val="32"/>
          <w:lang w:val="en-US" w:eastAsia="zh-CN" w:bidi="ar"/>
        </w:rPr>
        <w:t>，构建和完善专业课程体系；课程内容及时反映真实工作任务和工作过程，适应项目化教学要求，并根据产业发展更新，引入相关领域新标准、新技术、新工艺、新方法，课程建设取得一定成效。</w:t>
      </w:r>
    </w:p>
    <w:p w14:paraId="544C32B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rPr>
        <w:t>2. 学分学时要求</w:t>
      </w:r>
    </w:p>
    <w:p w14:paraId="2C6A4D0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（1）学分学时比</w:t>
      </w:r>
    </w:p>
    <w:tbl>
      <w:tblPr>
        <w:tblStyle w:val="10"/>
        <w:tblW w:w="7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7"/>
        <w:gridCol w:w="3393"/>
      </w:tblGrid>
      <w:tr w14:paraId="6F78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blHeader/>
          <w:jc w:val="center"/>
        </w:trPr>
        <w:tc>
          <w:tcPr>
            <w:tcW w:w="4267" w:type="dxa"/>
            <w:vAlign w:val="center"/>
          </w:tcPr>
          <w:p w14:paraId="0FDAEFCC">
            <w:pPr>
              <w:jc w:val="center"/>
              <w:rPr>
                <w:rFonts w:ascii="Times New Roman" w:hAnsi="Times New Roman" w:eastAsia="方正仿宋_GBK" w:cs="Times New Roman"/>
                <w:b/>
                <w:kern w:val="2"/>
                <w:szCs w:val="32"/>
              </w:rPr>
            </w:pPr>
            <w:r>
              <w:rPr>
                <w:rFonts w:ascii="Times New Roman" w:hAnsi="Times New Roman" w:eastAsia="方正仿宋_GBK" w:cs="Times New Roman"/>
                <w:b/>
                <w:kern w:val="2"/>
                <w:szCs w:val="32"/>
              </w:rPr>
              <w:t>课程类型/名称</w:t>
            </w:r>
          </w:p>
        </w:tc>
        <w:tc>
          <w:tcPr>
            <w:tcW w:w="3393" w:type="dxa"/>
            <w:vAlign w:val="center"/>
          </w:tcPr>
          <w:p w14:paraId="2E562B3C">
            <w:pPr>
              <w:jc w:val="center"/>
              <w:rPr>
                <w:rFonts w:ascii="Times New Roman" w:hAnsi="Times New Roman" w:eastAsia="方正仿宋_GBK" w:cs="Times New Roman"/>
                <w:b/>
                <w:kern w:val="2"/>
                <w:szCs w:val="32"/>
              </w:rPr>
            </w:pPr>
            <w:r>
              <w:rPr>
                <w:rFonts w:ascii="Times New Roman" w:hAnsi="Times New Roman" w:eastAsia="方正仿宋_GBK" w:cs="Times New Roman"/>
                <w:b/>
                <w:kern w:val="2"/>
                <w:szCs w:val="32"/>
              </w:rPr>
              <w:t>学分学时比</w:t>
            </w:r>
          </w:p>
        </w:tc>
      </w:tr>
      <w:tr w14:paraId="7C6F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7A708AFE">
            <w:pPr>
              <w:jc w:val="center"/>
              <w:rPr>
                <w:rFonts w:ascii="Times New Roman" w:hAnsi="Times New Roman" w:eastAsia="方正仿宋_GBK" w:cs="Times New Roman"/>
                <w:kern w:val="2"/>
                <w:szCs w:val="32"/>
              </w:rPr>
            </w:pPr>
            <w:r>
              <w:rPr>
                <w:rFonts w:hint="eastAsia" w:ascii="Times New Roman" w:hAnsi="Times New Roman" w:eastAsia="方正仿宋_GBK" w:cs="Times New Roman"/>
                <w:kern w:val="2"/>
                <w:szCs w:val="32"/>
                <w:lang w:eastAsia="zh-CN"/>
              </w:rPr>
              <w:t>形势与政策</w:t>
            </w:r>
          </w:p>
        </w:tc>
        <w:tc>
          <w:tcPr>
            <w:tcW w:w="3393" w:type="dxa"/>
            <w:vAlign w:val="center"/>
          </w:tcPr>
          <w:p w14:paraId="5DA65096">
            <w:pPr>
              <w:jc w:val="center"/>
              <w:rPr>
                <w:rFonts w:ascii="Times New Roman" w:hAnsi="Times New Roman" w:eastAsia="方正仿宋_GBK" w:cs="Times New Roman"/>
                <w:kern w:val="2"/>
                <w:szCs w:val="32"/>
              </w:rPr>
            </w:pPr>
            <w:r>
              <w:rPr>
                <w:rFonts w:ascii="Times New Roman" w:hAnsi="Times New Roman" w:eastAsia="方正仿宋_GBK" w:cs="Times New Roman"/>
                <w:kern w:val="2"/>
                <w:szCs w:val="32"/>
              </w:rPr>
              <w:t>1</w:t>
            </w:r>
            <w:r>
              <w:rPr>
                <w:rFonts w:hint="eastAsia" w:ascii="Times New Roman" w:hAnsi="Times New Roman" w:eastAsia="方正仿宋_GBK" w:cs="Times New Roman"/>
                <w:kern w:val="2"/>
                <w:szCs w:val="32"/>
                <w:lang w:eastAsia="zh-CN"/>
              </w:rPr>
              <w:t>:4</w:t>
            </w:r>
            <w:r>
              <w:rPr>
                <w:rFonts w:ascii="Times New Roman" w:hAnsi="Times New Roman" w:eastAsia="方正仿宋_GBK" w:cs="Times New Roman"/>
                <w:kern w:val="2"/>
                <w:szCs w:val="32"/>
                <w:lang w:eastAsia="zh-CN"/>
              </w:rPr>
              <w:t>8</w:t>
            </w:r>
          </w:p>
        </w:tc>
      </w:tr>
      <w:tr w14:paraId="48CCD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30CAE1F0">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军事理论</w:t>
            </w:r>
          </w:p>
        </w:tc>
        <w:tc>
          <w:tcPr>
            <w:tcW w:w="3393" w:type="dxa"/>
            <w:vAlign w:val="center"/>
          </w:tcPr>
          <w:p w14:paraId="45BF87E7">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1:1</w:t>
            </w:r>
            <w:r>
              <w:rPr>
                <w:rFonts w:ascii="Times New Roman" w:hAnsi="Times New Roman" w:eastAsia="方正仿宋_GBK" w:cs="Times New Roman"/>
                <w:kern w:val="2"/>
                <w:szCs w:val="32"/>
                <w:lang w:eastAsia="zh-CN"/>
              </w:rPr>
              <w:t>8</w:t>
            </w:r>
          </w:p>
        </w:tc>
      </w:tr>
      <w:tr w14:paraId="1AA2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07260C29">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军事技能</w:t>
            </w:r>
          </w:p>
        </w:tc>
        <w:tc>
          <w:tcPr>
            <w:tcW w:w="3393" w:type="dxa"/>
            <w:vAlign w:val="center"/>
          </w:tcPr>
          <w:p w14:paraId="74F14198">
            <w:pPr>
              <w:jc w:val="center"/>
              <w:rPr>
                <w:rFonts w:ascii="Times New Roman" w:hAnsi="Times New Roman" w:eastAsia="方正仿宋_GBK" w:cs="Times New Roman"/>
                <w:kern w:val="2"/>
                <w:szCs w:val="32"/>
              </w:rPr>
            </w:pPr>
            <w:r>
              <w:rPr>
                <w:rFonts w:ascii="Times New Roman" w:hAnsi="Times New Roman" w:eastAsia="方正仿宋_GBK" w:cs="Times New Roman"/>
                <w:kern w:val="2"/>
                <w:szCs w:val="32"/>
              </w:rPr>
              <w:t>1:56</w:t>
            </w:r>
          </w:p>
        </w:tc>
      </w:tr>
      <w:tr w14:paraId="4FBB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7CBD7E30">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岗位实习</w:t>
            </w:r>
          </w:p>
        </w:tc>
        <w:tc>
          <w:tcPr>
            <w:tcW w:w="3393" w:type="dxa"/>
            <w:vAlign w:val="center"/>
          </w:tcPr>
          <w:p w14:paraId="40F6CF91">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1:4</w:t>
            </w:r>
            <w:r>
              <w:rPr>
                <w:rFonts w:ascii="Times New Roman" w:hAnsi="Times New Roman" w:eastAsia="方正仿宋_GBK" w:cs="Times New Roman"/>
                <w:kern w:val="2"/>
                <w:szCs w:val="32"/>
                <w:lang w:eastAsia="zh-CN"/>
              </w:rPr>
              <w:t>8</w:t>
            </w:r>
          </w:p>
        </w:tc>
      </w:tr>
      <w:tr w14:paraId="3E31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6D133AEA">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毕业设计</w:t>
            </w:r>
          </w:p>
        </w:tc>
        <w:tc>
          <w:tcPr>
            <w:tcW w:w="3393" w:type="dxa"/>
            <w:vAlign w:val="center"/>
          </w:tcPr>
          <w:p w14:paraId="6FC0ADC6">
            <w:pPr>
              <w:jc w:val="center"/>
              <w:rPr>
                <w:rFonts w:ascii="Times New Roman" w:hAnsi="Times New Roman" w:eastAsia="方正仿宋_GBK" w:cs="Times New Roman"/>
                <w:kern w:val="2"/>
                <w:szCs w:val="32"/>
                <w:lang w:eastAsia="zh-CN"/>
              </w:rPr>
            </w:pPr>
            <w:r>
              <w:rPr>
                <w:rFonts w:ascii="Times New Roman" w:hAnsi="Times New Roman" w:eastAsia="方正仿宋_GBK" w:cs="Times New Roman"/>
                <w:kern w:val="2"/>
                <w:szCs w:val="32"/>
                <w:lang w:eastAsia="zh-CN"/>
              </w:rPr>
              <w:t>1:56</w:t>
            </w:r>
          </w:p>
        </w:tc>
      </w:tr>
      <w:tr w14:paraId="4F10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6D6556D9">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工</w:t>
            </w:r>
            <w:r>
              <w:rPr>
                <w:rFonts w:ascii="Times New Roman" w:hAnsi="Times New Roman" w:eastAsia="方正仿宋_GBK" w:cs="Times New Roman"/>
                <w:kern w:val="2"/>
                <w:szCs w:val="32"/>
                <w:lang w:eastAsia="zh-CN"/>
              </w:rPr>
              <w:t>/</w:t>
            </w:r>
            <w:r>
              <w:rPr>
                <w:rFonts w:hint="eastAsia" w:ascii="Times New Roman" w:hAnsi="Times New Roman" w:eastAsia="方正仿宋_GBK" w:cs="Times New Roman"/>
                <w:kern w:val="2"/>
                <w:szCs w:val="32"/>
                <w:lang w:eastAsia="zh-CN"/>
              </w:rPr>
              <w:t>文科基础实训课、集中实训课</w:t>
            </w:r>
          </w:p>
        </w:tc>
        <w:tc>
          <w:tcPr>
            <w:tcW w:w="3393" w:type="dxa"/>
            <w:vAlign w:val="center"/>
          </w:tcPr>
          <w:p w14:paraId="121FEBA9">
            <w:pPr>
              <w:jc w:val="center"/>
              <w:rPr>
                <w:rFonts w:ascii="Times New Roman" w:hAnsi="Times New Roman" w:eastAsia="方正仿宋_GBK" w:cs="Times New Roman"/>
                <w:kern w:val="2"/>
                <w:szCs w:val="32"/>
              </w:rPr>
            </w:pPr>
            <w:r>
              <w:rPr>
                <w:rFonts w:ascii="Times New Roman" w:hAnsi="Times New Roman" w:eastAsia="方正仿宋_GBK" w:cs="Times New Roman"/>
                <w:kern w:val="2"/>
                <w:szCs w:val="32"/>
              </w:rPr>
              <w:t>1</w:t>
            </w:r>
            <w:r>
              <w:rPr>
                <w:rFonts w:hint="eastAsia" w:ascii="Times New Roman" w:hAnsi="Times New Roman" w:eastAsia="方正仿宋_GBK" w:cs="Times New Roman"/>
                <w:kern w:val="2"/>
                <w:szCs w:val="32"/>
                <w:lang w:eastAsia="zh-CN"/>
              </w:rPr>
              <w:t>:2</w:t>
            </w:r>
            <w:r>
              <w:rPr>
                <w:rFonts w:ascii="Times New Roman" w:hAnsi="Times New Roman" w:eastAsia="方正仿宋_GBK" w:cs="Times New Roman"/>
                <w:kern w:val="2"/>
                <w:szCs w:val="32"/>
                <w:lang w:eastAsia="zh-CN"/>
              </w:rPr>
              <w:t>8</w:t>
            </w:r>
          </w:p>
        </w:tc>
      </w:tr>
      <w:tr w14:paraId="2DC9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4147BD36">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第二课堂</w:t>
            </w:r>
          </w:p>
        </w:tc>
        <w:tc>
          <w:tcPr>
            <w:tcW w:w="3393" w:type="dxa"/>
            <w:vAlign w:val="center"/>
          </w:tcPr>
          <w:p w14:paraId="7130E12E">
            <w:pPr>
              <w:jc w:val="center"/>
              <w:rPr>
                <w:rFonts w:ascii="Times New Roman" w:hAnsi="Times New Roman" w:eastAsia="方正仿宋_GBK" w:cs="Times New Roman"/>
                <w:kern w:val="2"/>
                <w:szCs w:val="32"/>
                <w:lang w:eastAsia="zh-CN"/>
              </w:rPr>
            </w:pPr>
            <w:r>
              <w:rPr>
                <w:rFonts w:ascii="Times New Roman" w:hAnsi="Times New Roman" w:eastAsia="方正仿宋_GBK" w:cs="Times New Roman"/>
                <w:kern w:val="2"/>
                <w:szCs w:val="32"/>
                <w:lang w:eastAsia="zh-CN"/>
              </w:rPr>
              <w:t>1</w:t>
            </w:r>
            <w:r>
              <w:rPr>
                <w:rFonts w:hint="eastAsia" w:ascii="Times New Roman" w:hAnsi="Times New Roman" w:eastAsia="方正仿宋_GBK" w:cs="Times New Roman"/>
                <w:kern w:val="2"/>
                <w:szCs w:val="32"/>
                <w:lang w:eastAsia="zh-CN"/>
              </w:rPr>
              <w:t>:56</w:t>
            </w:r>
          </w:p>
        </w:tc>
      </w:tr>
      <w:tr w14:paraId="7251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67" w:type="dxa"/>
            <w:vAlign w:val="center"/>
          </w:tcPr>
          <w:p w14:paraId="15D841A5">
            <w:pPr>
              <w:jc w:val="center"/>
              <w:rPr>
                <w:rFonts w:ascii="Times New Roman" w:hAnsi="Times New Roman" w:eastAsia="方正仿宋_GBK" w:cs="Times New Roman"/>
                <w:kern w:val="2"/>
                <w:szCs w:val="32"/>
                <w:lang w:eastAsia="zh-CN"/>
              </w:rPr>
            </w:pPr>
            <w:r>
              <w:rPr>
                <w:rFonts w:hint="eastAsia" w:ascii="Times New Roman" w:hAnsi="Times New Roman" w:eastAsia="方正仿宋_GBK" w:cs="Times New Roman"/>
                <w:kern w:val="2"/>
                <w:szCs w:val="32"/>
                <w:lang w:eastAsia="zh-CN"/>
              </w:rPr>
              <w:t>其他课程</w:t>
            </w:r>
          </w:p>
        </w:tc>
        <w:tc>
          <w:tcPr>
            <w:tcW w:w="3393" w:type="dxa"/>
            <w:vAlign w:val="center"/>
          </w:tcPr>
          <w:p w14:paraId="2905B9DA">
            <w:pPr>
              <w:jc w:val="center"/>
              <w:rPr>
                <w:rFonts w:ascii="Times New Roman" w:hAnsi="Times New Roman" w:eastAsia="方正仿宋_GBK" w:cs="Times New Roman"/>
                <w:kern w:val="2"/>
                <w:szCs w:val="32"/>
              </w:rPr>
            </w:pPr>
            <w:r>
              <w:rPr>
                <w:rFonts w:ascii="Times New Roman" w:hAnsi="Times New Roman" w:eastAsia="方正仿宋_GBK" w:cs="Times New Roman"/>
                <w:kern w:val="2"/>
                <w:szCs w:val="32"/>
              </w:rPr>
              <w:t>1:16</w:t>
            </w:r>
          </w:p>
        </w:tc>
      </w:tr>
    </w:tbl>
    <w:p w14:paraId="35FCE9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岗位实习48学时计1学分，共24周，第5、6学期各学院根据</w:t>
      </w:r>
      <w:r>
        <w:rPr>
          <w:rFonts w:hint="eastAsia" w:ascii="Times New Roman" w:hAnsi="Times New Roman" w:eastAsia="方正仿宋_GBK" w:cs="Times New Roman"/>
          <w:color w:val="000000"/>
          <w:kern w:val="0"/>
          <w:sz w:val="32"/>
          <w:szCs w:val="32"/>
          <w:lang w:val="en-US" w:eastAsia="zh-CN" w:bidi="ar"/>
        </w:rPr>
        <w:t>专业实际</w:t>
      </w:r>
      <w:r>
        <w:rPr>
          <w:rFonts w:hint="default" w:ascii="Times New Roman" w:hAnsi="Times New Roman" w:eastAsia="方正仿宋_GBK" w:cs="Times New Roman"/>
          <w:color w:val="000000"/>
          <w:kern w:val="0"/>
          <w:sz w:val="32"/>
          <w:szCs w:val="32"/>
          <w:lang w:val="en-US" w:eastAsia="zh-CN" w:bidi="ar"/>
        </w:rPr>
        <w:t>集中或分散开设。</w:t>
      </w:r>
    </w:p>
    <w:p w14:paraId="35B2CB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（2）集中实训周（不包括文/工科集中实训）设置在第2~5学期，每学期安排2周、1周计1学分，该类课程门数不宜设置过多，以3~4门为宜，一共为6~8周，各专业根据专业特点自主确定。</w:t>
      </w:r>
    </w:p>
    <w:p w14:paraId="12E3697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sz w:val="32"/>
          <w:szCs w:val="32"/>
        </w:rPr>
        <w:t>3. 课程设置要求</w:t>
      </w:r>
    </w:p>
    <w:p w14:paraId="187AE4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根据课程性质将课程分为公共基础课程、专业（技能）课程、第二课堂。所有专业课程及专业实践环节应支撑本专业人才培养定位及培养目标，面向特定职业岗位，对接岗位技术技能能力要求，兼顾岗位迁移能力培养，满足产业转型升级对复合型技术技能人才的需求。</w:t>
      </w:r>
    </w:p>
    <w:p w14:paraId="74A7588E">
      <w:pPr>
        <w:keepNext w:val="0"/>
        <w:keepLines w:val="0"/>
        <w:pageBreakBefore w:val="0"/>
        <w:widowControl w:val="0"/>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3"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b/>
          <w:bCs/>
          <w:color w:val="000000"/>
          <w:kern w:val="0"/>
          <w:sz w:val="32"/>
          <w:szCs w:val="32"/>
          <w:lang w:val="en-US" w:eastAsia="zh-CN" w:bidi="ar"/>
        </w:rPr>
        <w:t>公共基础课程</w:t>
      </w:r>
    </w:p>
    <w:p w14:paraId="46D79D0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公共基础课程由学校统一设置，包括思想政治理论课程、素质教育课程、公共选修课程。</w:t>
      </w:r>
    </w:p>
    <w:p w14:paraId="1D19E207">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公共基础课程及学分设置如下表：</w:t>
      </w:r>
    </w:p>
    <w:p w14:paraId="753EF97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0" w:right="0" w:rightChars="0" w:firstLine="560" w:firstLineChars="200"/>
        <w:jc w:val="center"/>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sz w:val="28"/>
          <w:szCs w:val="28"/>
          <w:lang w:eastAsia="zh-CN"/>
        </w:rPr>
        <w:t>表1 公共基础课程及学分设置</w:t>
      </w:r>
    </w:p>
    <w:tbl>
      <w:tblPr>
        <w:tblStyle w:val="9"/>
        <w:tblW w:w="5705" w:type="pct"/>
        <w:tblInd w:w="0" w:type="dxa"/>
        <w:tblLayout w:type="fixed"/>
        <w:tblCellMar>
          <w:top w:w="0" w:type="dxa"/>
          <w:left w:w="108" w:type="dxa"/>
          <w:bottom w:w="0" w:type="dxa"/>
          <w:right w:w="108" w:type="dxa"/>
        </w:tblCellMar>
      </w:tblPr>
      <w:tblGrid>
        <w:gridCol w:w="394"/>
        <w:gridCol w:w="649"/>
        <w:gridCol w:w="1712"/>
        <w:gridCol w:w="1413"/>
        <w:gridCol w:w="700"/>
        <w:gridCol w:w="662"/>
        <w:gridCol w:w="663"/>
        <w:gridCol w:w="3531"/>
      </w:tblGrid>
      <w:tr w14:paraId="7C9F64A3">
        <w:tblPrEx>
          <w:tblCellMar>
            <w:top w:w="0" w:type="dxa"/>
            <w:left w:w="108" w:type="dxa"/>
            <w:bottom w:w="0" w:type="dxa"/>
            <w:right w:w="108" w:type="dxa"/>
          </w:tblCellMar>
        </w:tblPrEx>
        <w:trPr>
          <w:trHeight w:val="435" w:hRule="atLeast"/>
          <w:tblHeader/>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359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课程</w:t>
            </w:r>
            <w:r>
              <w:rPr>
                <w:rFonts w:ascii="Times New Roman" w:hAnsi="Times New Roman" w:eastAsia="方正仿宋_GBK" w:cs="Times New Roman"/>
                <w:b/>
                <w:bCs/>
                <w:snapToGrid/>
                <w:color w:val="auto"/>
                <w:lang w:eastAsia="zh-CN"/>
              </w:rPr>
              <w:br w:type="textWrapping"/>
            </w:r>
            <w:r>
              <w:rPr>
                <w:rFonts w:ascii="Times New Roman" w:hAnsi="Times New Roman" w:eastAsia="方正仿宋_GBK" w:cs="Times New Roman"/>
                <w:b/>
                <w:bCs/>
                <w:snapToGrid/>
                <w:color w:val="auto"/>
                <w:lang w:eastAsia="zh-CN"/>
              </w:rPr>
              <w:t>类别</w:t>
            </w:r>
          </w:p>
        </w:tc>
        <w:tc>
          <w:tcPr>
            <w:tcW w:w="880" w:type="pct"/>
            <w:tcBorders>
              <w:top w:val="single" w:color="auto" w:sz="4" w:space="0"/>
              <w:left w:val="single" w:color="auto" w:sz="4" w:space="0"/>
              <w:bottom w:val="single" w:color="auto" w:sz="4" w:space="0"/>
              <w:right w:val="single" w:color="auto" w:sz="4" w:space="0"/>
            </w:tcBorders>
            <w:shd w:val="clear" w:color="auto" w:fill="auto"/>
            <w:vAlign w:val="center"/>
          </w:tcPr>
          <w:p w14:paraId="3E4B8E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课程名称</w:t>
            </w:r>
          </w:p>
        </w:tc>
        <w:tc>
          <w:tcPr>
            <w:tcW w:w="726" w:type="pct"/>
            <w:tcBorders>
              <w:top w:val="single" w:color="auto" w:sz="4" w:space="0"/>
              <w:left w:val="single" w:color="auto" w:sz="4" w:space="0"/>
              <w:bottom w:val="single" w:color="auto" w:sz="4" w:space="0"/>
              <w:right w:val="single" w:color="auto" w:sz="4" w:space="0"/>
            </w:tcBorders>
            <w:shd w:val="clear" w:color="auto" w:fill="auto"/>
            <w:vAlign w:val="center"/>
          </w:tcPr>
          <w:p w14:paraId="762A43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开课部门</w:t>
            </w:r>
          </w:p>
        </w:tc>
        <w:tc>
          <w:tcPr>
            <w:tcW w:w="359" w:type="pct"/>
            <w:tcBorders>
              <w:top w:val="single" w:color="auto" w:sz="4" w:space="0"/>
              <w:left w:val="single" w:color="auto" w:sz="4" w:space="0"/>
              <w:bottom w:val="single" w:color="auto" w:sz="4" w:space="0"/>
              <w:right w:val="single" w:color="auto" w:sz="4" w:space="0"/>
            </w:tcBorders>
            <w:shd w:val="clear" w:color="auto" w:fill="auto"/>
            <w:vAlign w:val="center"/>
          </w:tcPr>
          <w:p w14:paraId="54600F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学分</w:t>
            </w:r>
          </w:p>
        </w:tc>
        <w:tc>
          <w:tcPr>
            <w:tcW w:w="340" w:type="pct"/>
            <w:tcBorders>
              <w:top w:val="single" w:color="auto" w:sz="4" w:space="0"/>
              <w:left w:val="nil"/>
              <w:bottom w:val="single" w:color="auto" w:sz="4" w:space="0"/>
              <w:right w:val="single" w:color="auto" w:sz="4" w:space="0"/>
            </w:tcBorders>
            <w:shd w:val="clear" w:color="auto" w:fill="auto"/>
            <w:vAlign w:val="center"/>
          </w:tcPr>
          <w:p w14:paraId="774AB9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学时</w:t>
            </w:r>
          </w:p>
        </w:tc>
        <w:tc>
          <w:tcPr>
            <w:tcW w:w="340" w:type="pct"/>
            <w:tcBorders>
              <w:top w:val="single" w:color="auto" w:sz="4" w:space="0"/>
              <w:left w:val="single" w:color="auto" w:sz="4" w:space="0"/>
              <w:bottom w:val="single" w:color="auto" w:sz="4" w:space="0"/>
              <w:right w:val="single" w:color="auto" w:sz="4" w:space="0"/>
            </w:tcBorders>
            <w:shd w:val="clear" w:color="auto" w:fill="auto"/>
            <w:vAlign w:val="center"/>
          </w:tcPr>
          <w:p w14:paraId="48AA86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考核</w:t>
            </w:r>
            <w:r>
              <w:rPr>
                <w:rFonts w:ascii="Times New Roman" w:hAnsi="Times New Roman" w:eastAsia="方正仿宋_GBK" w:cs="Times New Roman"/>
                <w:b/>
                <w:bCs/>
                <w:snapToGrid/>
                <w:color w:val="auto"/>
                <w:lang w:eastAsia="zh-CN"/>
              </w:rPr>
              <w:br w:type="textWrapping"/>
            </w:r>
            <w:r>
              <w:rPr>
                <w:rFonts w:ascii="Times New Roman" w:hAnsi="Times New Roman" w:eastAsia="方正仿宋_GBK" w:cs="Times New Roman"/>
                <w:b/>
                <w:bCs/>
                <w:snapToGrid/>
                <w:color w:val="auto"/>
                <w:lang w:eastAsia="zh-CN"/>
              </w:rPr>
              <w:t>方式</w:t>
            </w:r>
          </w:p>
        </w:tc>
        <w:tc>
          <w:tcPr>
            <w:tcW w:w="1815" w:type="pct"/>
            <w:tcBorders>
              <w:top w:val="single" w:color="auto" w:sz="4" w:space="0"/>
              <w:left w:val="single" w:color="auto" w:sz="4" w:space="0"/>
              <w:bottom w:val="single" w:color="auto" w:sz="4" w:space="0"/>
              <w:right w:val="single" w:color="auto" w:sz="4" w:space="0"/>
            </w:tcBorders>
            <w:shd w:val="clear" w:color="auto" w:fill="auto"/>
            <w:vAlign w:val="center"/>
          </w:tcPr>
          <w:p w14:paraId="2196FB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b/>
                <w:bCs/>
                <w:snapToGrid/>
                <w:color w:val="auto"/>
                <w:lang w:eastAsia="zh-CN"/>
              </w:rPr>
            </w:pPr>
            <w:r>
              <w:rPr>
                <w:rFonts w:ascii="Times New Roman" w:hAnsi="Times New Roman" w:eastAsia="方正仿宋_GBK" w:cs="Times New Roman"/>
                <w:b/>
                <w:bCs/>
                <w:snapToGrid/>
                <w:color w:val="auto"/>
                <w:lang w:eastAsia="zh-CN"/>
              </w:rPr>
              <w:t>适用学院（专业）</w:t>
            </w:r>
          </w:p>
        </w:tc>
      </w:tr>
      <w:tr w14:paraId="42CE1BFA">
        <w:tblPrEx>
          <w:tblCellMar>
            <w:top w:w="0" w:type="dxa"/>
            <w:left w:w="108" w:type="dxa"/>
            <w:bottom w:w="0" w:type="dxa"/>
            <w:right w:w="108" w:type="dxa"/>
          </w:tblCellMar>
        </w:tblPrEx>
        <w:trPr>
          <w:trHeight w:val="378" w:hRule="atLeast"/>
        </w:trPr>
        <w:tc>
          <w:tcPr>
            <w:tcW w:w="202" w:type="pct"/>
            <w:vMerge w:val="restart"/>
            <w:tcBorders>
              <w:top w:val="nil"/>
              <w:left w:val="single" w:color="auto" w:sz="4" w:space="0"/>
              <w:right w:val="single" w:color="auto" w:sz="4" w:space="0"/>
            </w:tcBorders>
            <w:shd w:val="clear" w:color="auto" w:fill="auto"/>
            <w:vAlign w:val="center"/>
          </w:tcPr>
          <w:p w14:paraId="592936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1FEE4D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43BC2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519CF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7B96E0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09A13C8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1719F5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0852B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51D292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EA5A7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17DCEF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813DB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660C07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066765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9DF2D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36D5B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79963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2517AA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67B524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0C6A60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F75CC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167085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E4C94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8F7F8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98FB7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76DEAF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公共基础课程</w:t>
            </w:r>
          </w:p>
          <w:p w14:paraId="780779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51224A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7A761D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66B2AD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55FFC4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00A1C7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40C3B0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14AE9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3A0814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p w14:paraId="157C648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eastAsia="方正仿宋_GBK" w:cs="Times New Roman"/>
                <w:snapToGrid/>
                <w:color w:val="auto"/>
                <w:lang w:eastAsia="zh-CN"/>
              </w:rPr>
            </w:pPr>
          </w:p>
        </w:tc>
        <w:tc>
          <w:tcPr>
            <w:tcW w:w="333" w:type="pct"/>
            <w:vMerge w:val="restart"/>
            <w:tcBorders>
              <w:top w:val="nil"/>
              <w:left w:val="single" w:color="auto" w:sz="4" w:space="0"/>
              <w:bottom w:val="single" w:color="auto" w:sz="4" w:space="0"/>
              <w:right w:val="single" w:color="auto" w:sz="4" w:space="0"/>
            </w:tcBorders>
            <w:shd w:val="clear" w:color="auto" w:fill="auto"/>
            <w:vAlign w:val="center"/>
          </w:tcPr>
          <w:p w14:paraId="6E6F5E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思想政治理论课程</w:t>
            </w:r>
          </w:p>
        </w:tc>
        <w:tc>
          <w:tcPr>
            <w:tcW w:w="880" w:type="pct"/>
            <w:tcBorders>
              <w:top w:val="nil"/>
              <w:left w:val="nil"/>
              <w:bottom w:val="single" w:color="auto" w:sz="4" w:space="0"/>
              <w:right w:val="single" w:color="auto" w:sz="4" w:space="0"/>
            </w:tcBorders>
            <w:shd w:val="clear" w:color="auto" w:fill="auto"/>
            <w:vAlign w:val="center"/>
          </w:tcPr>
          <w:p w14:paraId="18591DA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思想道德与法治</w:t>
            </w:r>
          </w:p>
        </w:tc>
        <w:tc>
          <w:tcPr>
            <w:tcW w:w="726" w:type="pct"/>
            <w:tcBorders>
              <w:top w:val="nil"/>
              <w:left w:val="nil"/>
              <w:bottom w:val="single" w:color="auto" w:sz="4" w:space="0"/>
              <w:right w:val="single" w:color="auto" w:sz="4" w:space="0"/>
            </w:tcBorders>
            <w:shd w:val="clear" w:color="auto" w:fill="auto"/>
            <w:vAlign w:val="center"/>
          </w:tcPr>
          <w:p w14:paraId="784944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6AE14A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w:t>
            </w:r>
          </w:p>
        </w:tc>
        <w:tc>
          <w:tcPr>
            <w:tcW w:w="340" w:type="pct"/>
            <w:tcBorders>
              <w:top w:val="nil"/>
              <w:left w:val="nil"/>
              <w:bottom w:val="single" w:color="auto" w:sz="4" w:space="0"/>
              <w:right w:val="single" w:color="auto" w:sz="4" w:space="0"/>
            </w:tcBorders>
            <w:shd w:val="clear" w:color="auto" w:fill="auto"/>
            <w:vAlign w:val="center"/>
          </w:tcPr>
          <w:p w14:paraId="2B7C69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48</w:t>
            </w:r>
          </w:p>
        </w:tc>
        <w:tc>
          <w:tcPr>
            <w:tcW w:w="340" w:type="pct"/>
            <w:tcBorders>
              <w:top w:val="nil"/>
              <w:left w:val="nil"/>
              <w:bottom w:val="single" w:color="auto" w:sz="4" w:space="0"/>
              <w:right w:val="single" w:color="auto" w:sz="4" w:space="0"/>
            </w:tcBorders>
            <w:shd w:val="clear" w:color="auto" w:fill="auto"/>
            <w:vAlign w:val="center"/>
          </w:tcPr>
          <w:p w14:paraId="1ACD91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noWrap/>
            <w:vAlign w:val="center"/>
          </w:tcPr>
          <w:p w14:paraId="2262D56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29F76232">
        <w:tblPrEx>
          <w:tblCellMar>
            <w:top w:w="0" w:type="dxa"/>
            <w:left w:w="108" w:type="dxa"/>
            <w:bottom w:w="0" w:type="dxa"/>
            <w:right w:w="108" w:type="dxa"/>
          </w:tblCellMar>
        </w:tblPrEx>
        <w:trPr>
          <w:trHeight w:val="617" w:hRule="atLeast"/>
        </w:trPr>
        <w:tc>
          <w:tcPr>
            <w:tcW w:w="202" w:type="pct"/>
            <w:vMerge w:val="continue"/>
            <w:tcBorders>
              <w:left w:val="single" w:color="auto" w:sz="4" w:space="0"/>
              <w:right w:val="single" w:color="auto" w:sz="4" w:space="0"/>
            </w:tcBorders>
            <w:shd w:val="clear" w:color="auto" w:fill="auto"/>
            <w:vAlign w:val="center"/>
          </w:tcPr>
          <w:p w14:paraId="4414534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top w:val="nil"/>
              <w:left w:val="single" w:color="auto" w:sz="4" w:space="0"/>
              <w:bottom w:val="single" w:color="auto" w:sz="4" w:space="0"/>
              <w:right w:val="single" w:color="auto" w:sz="4" w:space="0"/>
            </w:tcBorders>
            <w:vAlign w:val="center"/>
          </w:tcPr>
          <w:p w14:paraId="28B198C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7FDBE42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毛泽东思想和中国特色社会主义理论体系概论</w:t>
            </w:r>
          </w:p>
        </w:tc>
        <w:tc>
          <w:tcPr>
            <w:tcW w:w="726" w:type="pct"/>
            <w:tcBorders>
              <w:top w:val="nil"/>
              <w:left w:val="nil"/>
              <w:bottom w:val="single" w:color="auto" w:sz="4" w:space="0"/>
              <w:right w:val="single" w:color="auto" w:sz="4" w:space="0"/>
            </w:tcBorders>
            <w:shd w:val="clear" w:color="auto" w:fill="auto"/>
            <w:vAlign w:val="center"/>
          </w:tcPr>
          <w:p w14:paraId="1BE09A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0D88A2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nil"/>
              <w:bottom w:val="single" w:color="auto" w:sz="4" w:space="0"/>
              <w:right w:val="single" w:color="auto" w:sz="4" w:space="0"/>
            </w:tcBorders>
            <w:shd w:val="clear" w:color="auto" w:fill="auto"/>
            <w:vAlign w:val="center"/>
          </w:tcPr>
          <w:p w14:paraId="6D861A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32</w:t>
            </w:r>
          </w:p>
        </w:tc>
        <w:tc>
          <w:tcPr>
            <w:tcW w:w="340" w:type="pct"/>
            <w:tcBorders>
              <w:top w:val="nil"/>
              <w:left w:val="nil"/>
              <w:bottom w:val="single" w:color="auto" w:sz="4" w:space="0"/>
              <w:right w:val="single" w:color="auto" w:sz="4" w:space="0"/>
            </w:tcBorders>
            <w:shd w:val="clear" w:color="auto" w:fill="auto"/>
            <w:vAlign w:val="center"/>
          </w:tcPr>
          <w:p w14:paraId="6036F3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考试</w:t>
            </w:r>
          </w:p>
        </w:tc>
        <w:tc>
          <w:tcPr>
            <w:tcW w:w="1815" w:type="pct"/>
            <w:tcBorders>
              <w:top w:val="nil"/>
              <w:left w:val="nil"/>
              <w:bottom w:val="single" w:color="auto" w:sz="4" w:space="0"/>
              <w:right w:val="single" w:color="auto" w:sz="4" w:space="0"/>
            </w:tcBorders>
            <w:shd w:val="clear" w:color="auto" w:fill="auto"/>
            <w:noWrap/>
            <w:vAlign w:val="center"/>
          </w:tcPr>
          <w:p w14:paraId="10894D7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30D2474F">
        <w:tblPrEx>
          <w:tblCellMar>
            <w:top w:w="0" w:type="dxa"/>
            <w:left w:w="108" w:type="dxa"/>
            <w:bottom w:w="0" w:type="dxa"/>
            <w:right w:w="108" w:type="dxa"/>
          </w:tblCellMar>
        </w:tblPrEx>
        <w:trPr>
          <w:trHeight w:val="692" w:hRule="atLeast"/>
        </w:trPr>
        <w:tc>
          <w:tcPr>
            <w:tcW w:w="202" w:type="pct"/>
            <w:vMerge w:val="continue"/>
            <w:tcBorders>
              <w:left w:val="single" w:color="auto" w:sz="4" w:space="0"/>
              <w:right w:val="single" w:color="auto" w:sz="4" w:space="0"/>
            </w:tcBorders>
            <w:shd w:val="clear" w:color="auto" w:fill="auto"/>
            <w:vAlign w:val="center"/>
          </w:tcPr>
          <w:p w14:paraId="4DEEFB0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top w:val="nil"/>
              <w:left w:val="single" w:color="auto" w:sz="4" w:space="0"/>
              <w:bottom w:val="single" w:color="auto" w:sz="4" w:space="0"/>
              <w:right w:val="single" w:color="auto" w:sz="4" w:space="0"/>
            </w:tcBorders>
            <w:vAlign w:val="center"/>
          </w:tcPr>
          <w:p w14:paraId="32AAA4E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71E39AE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习近平新时代中国特色社会主义思想概论</w:t>
            </w:r>
          </w:p>
        </w:tc>
        <w:tc>
          <w:tcPr>
            <w:tcW w:w="726" w:type="pct"/>
            <w:tcBorders>
              <w:top w:val="nil"/>
              <w:left w:val="nil"/>
              <w:bottom w:val="single" w:color="auto" w:sz="4" w:space="0"/>
              <w:right w:val="single" w:color="auto" w:sz="4" w:space="0"/>
            </w:tcBorders>
            <w:shd w:val="clear" w:color="auto" w:fill="auto"/>
            <w:vAlign w:val="center"/>
          </w:tcPr>
          <w:p w14:paraId="65EDD8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19E43E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w:t>
            </w:r>
          </w:p>
        </w:tc>
        <w:tc>
          <w:tcPr>
            <w:tcW w:w="340" w:type="pct"/>
            <w:tcBorders>
              <w:top w:val="nil"/>
              <w:left w:val="nil"/>
              <w:bottom w:val="single" w:color="auto" w:sz="4" w:space="0"/>
              <w:right w:val="single" w:color="auto" w:sz="4" w:space="0"/>
            </w:tcBorders>
            <w:shd w:val="clear" w:color="auto" w:fill="auto"/>
            <w:vAlign w:val="center"/>
          </w:tcPr>
          <w:p w14:paraId="1FA40C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48</w:t>
            </w:r>
          </w:p>
        </w:tc>
        <w:tc>
          <w:tcPr>
            <w:tcW w:w="340" w:type="pct"/>
            <w:tcBorders>
              <w:top w:val="nil"/>
              <w:left w:val="nil"/>
              <w:bottom w:val="single" w:color="auto" w:sz="4" w:space="0"/>
              <w:right w:val="single" w:color="auto" w:sz="4" w:space="0"/>
            </w:tcBorders>
            <w:shd w:val="clear" w:color="auto" w:fill="auto"/>
            <w:vAlign w:val="center"/>
          </w:tcPr>
          <w:p w14:paraId="49F385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考试</w:t>
            </w:r>
          </w:p>
        </w:tc>
        <w:tc>
          <w:tcPr>
            <w:tcW w:w="1815" w:type="pct"/>
            <w:tcBorders>
              <w:top w:val="nil"/>
              <w:left w:val="nil"/>
              <w:bottom w:val="single" w:color="auto" w:sz="4" w:space="0"/>
              <w:right w:val="single" w:color="auto" w:sz="4" w:space="0"/>
            </w:tcBorders>
            <w:shd w:val="clear" w:color="auto" w:fill="auto"/>
            <w:noWrap/>
            <w:vAlign w:val="center"/>
          </w:tcPr>
          <w:p w14:paraId="7EFA456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3397B715">
        <w:tblPrEx>
          <w:tblCellMar>
            <w:top w:w="0" w:type="dxa"/>
            <w:left w:w="108" w:type="dxa"/>
            <w:bottom w:w="0" w:type="dxa"/>
            <w:right w:w="108" w:type="dxa"/>
          </w:tblCellMar>
        </w:tblPrEx>
        <w:trPr>
          <w:trHeight w:val="315" w:hRule="atLeast"/>
        </w:trPr>
        <w:tc>
          <w:tcPr>
            <w:tcW w:w="202" w:type="pct"/>
            <w:vMerge w:val="continue"/>
            <w:tcBorders>
              <w:left w:val="single" w:color="auto" w:sz="4" w:space="0"/>
              <w:right w:val="single" w:color="auto" w:sz="4" w:space="0"/>
            </w:tcBorders>
            <w:shd w:val="clear" w:color="auto" w:fill="auto"/>
            <w:vAlign w:val="center"/>
          </w:tcPr>
          <w:p w14:paraId="5D10781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top w:val="nil"/>
              <w:left w:val="single" w:color="auto" w:sz="4" w:space="0"/>
              <w:bottom w:val="single" w:color="auto" w:sz="4" w:space="0"/>
              <w:right w:val="single" w:color="auto" w:sz="4" w:space="0"/>
            </w:tcBorders>
            <w:vAlign w:val="center"/>
          </w:tcPr>
          <w:p w14:paraId="5A348DA2">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58954942">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形势与政策</w:t>
            </w:r>
          </w:p>
        </w:tc>
        <w:tc>
          <w:tcPr>
            <w:tcW w:w="726" w:type="pct"/>
            <w:tcBorders>
              <w:top w:val="nil"/>
              <w:left w:val="nil"/>
              <w:bottom w:val="single" w:color="auto" w:sz="4" w:space="0"/>
              <w:right w:val="single" w:color="auto" w:sz="4" w:space="0"/>
            </w:tcBorders>
            <w:shd w:val="clear" w:color="auto" w:fill="auto"/>
            <w:vAlign w:val="center"/>
          </w:tcPr>
          <w:p w14:paraId="437305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0B0FF5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w:t>
            </w:r>
          </w:p>
        </w:tc>
        <w:tc>
          <w:tcPr>
            <w:tcW w:w="340" w:type="pct"/>
            <w:tcBorders>
              <w:top w:val="nil"/>
              <w:left w:val="nil"/>
              <w:bottom w:val="single" w:color="auto" w:sz="4" w:space="0"/>
              <w:right w:val="single" w:color="auto" w:sz="4" w:space="0"/>
            </w:tcBorders>
            <w:shd w:val="clear" w:color="auto" w:fill="auto"/>
            <w:vAlign w:val="center"/>
          </w:tcPr>
          <w:p w14:paraId="33B062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48</w:t>
            </w:r>
          </w:p>
        </w:tc>
        <w:tc>
          <w:tcPr>
            <w:tcW w:w="340" w:type="pct"/>
            <w:tcBorders>
              <w:top w:val="nil"/>
              <w:left w:val="nil"/>
              <w:bottom w:val="single" w:color="auto" w:sz="4" w:space="0"/>
              <w:right w:val="single" w:color="auto" w:sz="4" w:space="0"/>
            </w:tcBorders>
            <w:shd w:val="clear" w:color="auto" w:fill="auto"/>
            <w:vAlign w:val="center"/>
          </w:tcPr>
          <w:p w14:paraId="2130B5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4448834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39078716">
        <w:tblPrEx>
          <w:tblCellMar>
            <w:top w:w="0" w:type="dxa"/>
            <w:left w:w="108" w:type="dxa"/>
            <w:bottom w:w="0" w:type="dxa"/>
            <w:right w:w="108" w:type="dxa"/>
          </w:tblCellMar>
        </w:tblPrEx>
        <w:trPr>
          <w:trHeight w:val="263" w:hRule="atLeast"/>
        </w:trPr>
        <w:tc>
          <w:tcPr>
            <w:tcW w:w="202" w:type="pct"/>
            <w:vMerge w:val="continue"/>
            <w:tcBorders>
              <w:left w:val="single" w:color="auto" w:sz="4" w:space="0"/>
              <w:right w:val="single" w:color="auto" w:sz="4" w:space="0"/>
            </w:tcBorders>
            <w:shd w:val="clear" w:color="auto" w:fill="auto"/>
            <w:vAlign w:val="center"/>
          </w:tcPr>
          <w:p w14:paraId="59E92E7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restart"/>
            <w:tcBorders>
              <w:top w:val="nil"/>
              <w:left w:val="single" w:color="auto" w:sz="4" w:space="0"/>
              <w:right w:val="single" w:color="auto" w:sz="4" w:space="0"/>
            </w:tcBorders>
            <w:shd w:val="clear" w:color="auto" w:fill="auto"/>
            <w:vAlign w:val="center"/>
          </w:tcPr>
          <w:p w14:paraId="1D92D1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素质教育课程</w:t>
            </w:r>
          </w:p>
        </w:tc>
        <w:tc>
          <w:tcPr>
            <w:tcW w:w="880" w:type="pct"/>
            <w:tcBorders>
              <w:top w:val="nil"/>
              <w:left w:val="single" w:color="auto" w:sz="4" w:space="0"/>
              <w:bottom w:val="single" w:color="auto" w:sz="4" w:space="0"/>
              <w:right w:val="single" w:color="auto" w:sz="4" w:space="0"/>
            </w:tcBorders>
            <w:shd w:val="clear" w:color="auto" w:fill="auto"/>
            <w:vAlign w:val="center"/>
          </w:tcPr>
          <w:p w14:paraId="0EF4006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军事理论</w:t>
            </w:r>
          </w:p>
        </w:tc>
        <w:tc>
          <w:tcPr>
            <w:tcW w:w="726" w:type="pct"/>
            <w:tcBorders>
              <w:top w:val="nil"/>
              <w:left w:val="single" w:color="auto" w:sz="4" w:space="0"/>
              <w:bottom w:val="single" w:color="auto" w:sz="4" w:space="0"/>
              <w:right w:val="single" w:color="auto" w:sz="4" w:space="0"/>
            </w:tcBorders>
            <w:shd w:val="clear" w:color="auto" w:fill="auto"/>
            <w:vAlign w:val="center"/>
          </w:tcPr>
          <w:p w14:paraId="01D585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tcBorders>
              <w:top w:val="nil"/>
              <w:left w:val="single" w:color="auto" w:sz="4" w:space="0"/>
              <w:bottom w:val="single" w:color="auto" w:sz="4" w:space="0"/>
              <w:right w:val="single" w:color="auto" w:sz="4" w:space="0"/>
            </w:tcBorders>
            <w:shd w:val="clear" w:color="auto" w:fill="auto"/>
            <w:vAlign w:val="center"/>
          </w:tcPr>
          <w:p w14:paraId="2F84CD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single" w:color="auto" w:sz="4" w:space="0"/>
              <w:bottom w:val="single" w:color="auto" w:sz="4" w:space="0"/>
              <w:right w:val="single" w:color="auto" w:sz="4" w:space="0"/>
            </w:tcBorders>
            <w:shd w:val="clear" w:color="auto" w:fill="auto"/>
            <w:vAlign w:val="center"/>
          </w:tcPr>
          <w:p w14:paraId="4C3C7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36</w:t>
            </w:r>
          </w:p>
        </w:tc>
        <w:tc>
          <w:tcPr>
            <w:tcW w:w="340" w:type="pct"/>
            <w:tcBorders>
              <w:top w:val="nil"/>
              <w:left w:val="nil"/>
              <w:bottom w:val="single" w:color="auto" w:sz="4" w:space="0"/>
              <w:right w:val="single" w:color="auto" w:sz="4" w:space="0"/>
            </w:tcBorders>
            <w:shd w:val="clear" w:color="auto" w:fill="auto"/>
            <w:vAlign w:val="center"/>
          </w:tcPr>
          <w:p w14:paraId="358ECF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23300A2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hint="eastAsia" w:ascii="Times New Roman" w:hAnsi="Times New Roman" w:eastAsia="方正仿宋_GBK" w:cs="Times New Roman"/>
                <w:snapToGrid/>
                <w:lang w:eastAsia="zh-CN"/>
              </w:rPr>
              <w:t>所有学院</w:t>
            </w:r>
          </w:p>
        </w:tc>
      </w:tr>
      <w:tr w14:paraId="60D3384D">
        <w:tblPrEx>
          <w:tblCellMar>
            <w:top w:w="0" w:type="dxa"/>
            <w:left w:w="108" w:type="dxa"/>
            <w:bottom w:w="0" w:type="dxa"/>
            <w:right w:w="108" w:type="dxa"/>
          </w:tblCellMar>
        </w:tblPrEx>
        <w:trPr>
          <w:trHeight w:val="288" w:hRule="atLeast"/>
        </w:trPr>
        <w:tc>
          <w:tcPr>
            <w:tcW w:w="202" w:type="pct"/>
            <w:vMerge w:val="continue"/>
            <w:tcBorders>
              <w:left w:val="single" w:color="auto" w:sz="4" w:space="0"/>
              <w:right w:val="single" w:color="auto" w:sz="4" w:space="0"/>
            </w:tcBorders>
            <w:shd w:val="clear" w:color="auto" w:fill="auto"/>
            <w:vAlign w:val="center"/>
          </w:tcPr>
          <w:p w14:paraId="5AD52DE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0E4A830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6661FE7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军事技能</w:t>
            </w:r>
          </w:p>
        </w:tc>
        <w:tc>
          <w:tcPr>
            <w:tcW w:w="726" w:type="pct"/>
            <w:tcBorders>
              <w:top w:val="nil"/>
              <w:left w:val="nil"/>
              <w:bottom w:val="single" w:color="auto" w:sz="4" w:space="0"/>
              <w:right w:val="single" w:color="auto" w:sz="4" w:space="0"/>
            </w:tcBorders>
            <w:shd w:val="clear" w:color="auto" w:fill="auto"/>
            <w:vAlign w:val="center"/>
          </w:tcPr>
          <w:p w14:paraId="201427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学生工作处</w:t>
            </w:r>
          </w:p>
        </w:tc>
        <w:tc>
          <w:tcPr>
            <w:tcW w:w="359" w:type="pct"/>
            <w:tcBorders>
              <w:top w:val="nil"/>
              <w:left w:val="nil"/>
              <w:bottom w:val="single" w:color="auto" w:sz="4" w:space="0"/>
              <w:right w:val="single" w:color="auto" w:sz="4" w:space="0"/>
            </w:tcBorders>
            <w:shd w:val="clear" w:color="auto" w:fill="auto"/>
            <w:vAlign w:val="center"/>
          </w:tcPr>
          <w:p w14:paraId="075159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nil"/>
              <w:bottom w:val="single" w:color="auto" w:sz="4" w:space="0"/>
              <w:right w:val="single" w:color="auto" w:sz="4" w:space="0"/>
            </w:tcBorders>
            <w:shd w:val="clear" w:color="auto" w:fill="auto"/>
            <w:vAlign w:val="center"/>
          </w:tcPr>
          <w:p w14:paraId="1A62EE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112</w:t>
            </w:r>
          </w:p>
        </w:tc>
        <w:tc>
          <w:tcPr>
            <w:tcW w:w="340" w:type="pct"/>
            <w:tcBorders>
              <w:top w:val="nil"/>
              <w:left w:val="nil"/>
              <w:bottom w:val="single" w:color="auto" w:sz="4" w:space="0"/>
              <w:right w:val="single" w:color="auto" w:sz="4" w:space="0"/>
            </w:tcBorders>
            <w:shd w:val="clear" w:color="auto" w:fill="auto"/>
            <w:vAlign w:val="center"/>
          </w:tcPr>
          <w:p w14:paraId="0D6006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26906F8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0F100E19">
        <w:tblPrEx>
          <w:tblCellMar>
            <w:top w:w="0" w:type="dxa"/>
            <w:left w:w="108" w:type="dxa"/>
            <w:bottom w:w="0" w:type="dxa"/>
            <w:right w:w="108" w:type="dxa"/>
          </w:tblCellMar>
        </w:tblPrEx>
        <w:trPr>
          <w:trHeight w:val="315" w:hRule="atLeast"/>
        </w:trPr>
        <w:tc>
          <w:tcPr>
            <w:tcW w:w="202" w:type="pct"/>
            <w:vMerge w:val="continue"/>
            <w:tcBorders>
              <w:left w:val="single" w:color="auto" w:sz="4" w:space="0"/>
              <w:right w:val="single" w:color="auto" w:sz="4" w:space="0"/>
            </w:tcBorders>
            <w:shd w:val="clear" w:color="auto" w:fill="auto"/>
            <w:vAlign w:val="center"/>
          </w:tcPr>
          <w:p w14:paraId="5169939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3DD8DB1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35336342">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国家安全教育</w:t>
            </w:r>
          </w:p>
        </w:tc>
        <w:tc>
          <w:tcPr>
            <w:tcW w:w="726" w:type="pct"/>
            <w:tcBorders>
              <w:top w:val="nil"/>
              <w:left w:val="nil"/>
              <w:bottom w:val="single" w:color="auto" w:sz="4" w:space="0"/>
              <w:right w:val="single" w:color="auto" w:sz="4" w:space="0"/>
            </w:tcBorders>
            <w:shd w:val="clear" w:color="auto" w:fill="auto"/>
            <w:vAlign w:val="center"/>
          </w:tcPr>
          <w:p w14:paraId="511157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09C1AA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w:t>
            </w:r>
          </w:p>
        </w:tc>
        <w:tc>
          <w:tcPr>
            <w:tcW w:w="340" w:type="pct"/>
            <w:tcBorders>
              <w:top w:val="nil"/>
              <w:left w:val="nil"/>
              <w:bottom w:val="single" w:color="auto" w:sz="4" w:space="0"/>
              <w:right w:val="single" w:color="auto" w:sz="4" w:space="0"/>
            </w:tcBorders>
            <w:shd w:val="clear" w:color="auto" w:fill="auto"/>
            <w:vAlign w:val="center"/>
          </w:tcPr>
          <w:p w14:paraId="164343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16</w:t>
            </w:r>
          </w:p>
        </w:tc>
        <w:tc>
          <w:tcPr>
            <w:tcW w:w="340" w:type="pct"/>
            <w:tcBorders>
              <w:top w:val="nil"/>
              <w:left w:val="nil"/>
              <w:bottom w:val="single" w:color="auto" w:sz="4" w:space="0"/>
              <w:right w:val="single" w:color="auto" w:sz="4" w:space="0"/>
            </w:tcBorders>
            <w:shd w:val="clear" w:color="auto" w:fill="auto"/>
            <w:vAlign w:val="center"/>
          </w:tcPr>
          <w:p w14:paraId="3B1817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5DA39AD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5BACB7E5">
        <w:tblPrEx>
          <w:tblCellMar>
            <w:top w:w="0" w:type="dxa"/>
            <w:left w:w="108" w:type="dxa"/>
            <w:bottom w:w="0" w:type="dxa"/>
            <w:right w:w="108" w:type="dxa"/>
          </w:tblCellMar>
        </w:tblPrEx>
        <w:trPr>
          <w:trHeight w:val="378" w:hRule="atLeast"/>
        </w:trPr>
        <w:tc>
          <w:tcPr>
            <w:tcW w:w="202" w:type="pct"/>
            <w:vMerge w:val="continue"/>
            <w:tcBorders>
              <w:left w:val="single" w:color="auto" w:sz="4" w:space="0"/>
              <w:right w:val="single" w:color="auto" w:sz="4" w:space="0"/>
            </w:tcBorders>
            <w:shd w:val="clear" w:color="auto" w:fill="auto"/>
            <w:vAlign w:val="center"/>
          </w:tcPr>
          <w:p w14:paraId="71EE665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2C8CA7B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0D157A9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心理健康</w:t>
            </w:r>
          </w:p>
        </w:tc>
        <w:tc>
          <w:tcPr>
            <w:tcW w:w="726" w:type="pct"/>
            <w:tcBorders>
              <w:top w:val="nil"/>
              <w:left w:val="nil"/>
              <w:bottom w:val="single" w:color="auto" w:sz="4" w:space="0"/>
              <w:right w:val="single" w:color="auto" w:sz="4" w:space="0"/>
            </w:tcBorders>
            <w:shd w:val="clear" w:color="auto" w:fill="auto"/>
            <w:vAlign w:val="center"/>
          </w:tcPr>
          <w:p w14:paraId="5D3236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马克思主义学院</w:t>
            </w:r>
          </w:p>
        </w:tc>
        <w:tc>
          <w:tcPr>
            <w:tcW w:w="359" w:type="pct"/>
            <w:tcBorders>
              <w:top w:val="nil"/>
              <w:left w:val="nil"/>
              <w:bottom w:val="single" w:color="auto" w:sz="4" w:space="0"/>
              <w:right w:val="single" w:color="auto" w:sz="4" w:space="0"/>
            </w:tcBorders>
            <w:shd w:val="clear" w:color="auto" w:fill="auto"/>
            <w:vAlign w:val="center"/>
          </w:tcPr>
          <w:p w14:paraId="2F0C58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nil"/>
              <w:bottom w:val="single" w:color="auto" w:sz="4" w:space="0"/>
              <w:right w:val="single" w:color="auto" w:sz="4" w:space="0"/>
            </w:tcBorders>
            <w:shd w:val="clear" w:color="auto" w:fill="auto"/>
            <w:vAlign w:val="center"/>
          </w:tcPr>
          <w:p w14:paraId="4DA63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32</w:t>
            </w:r>
          </w:p>
        </w:tc>
        <w:tc>
          <w:tcPr>
            <w:tcW w:w="340" w:type="pct"/>
            <w:tcBorders>
              <w:top w:val="nil"/>
              <w:left w:val="nil"/>
              <w:bottom w:val="single" w:color="auto" w:sz="4" w:space="0"/>
              <w:right w:val="single" w:color="auto" w:sz="4" w:space="0"/>
            </w:tcBorders>
            <w:shd w:val="clear" w:color="auto" w:fill="auto"/>
            <w:vAlign w:val="center"/>
          </w:tcPr>
          <w:p w14:paraId="0A13F3E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1914F39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18660C3B">
        <w:tblPrEx>
          <w:tblCellMar>
            <w:top w:w="0" w:type="dxa"/>
            <w:left w:w="108" w:type="dxa"/>
            <w:bottom w:w="0" w:type="dxa"/>
            <w:right w:w="108" w:type="dxa"/>
          </w:tblCellMar>
        </w:tblPrEx>
        <w:trPr>
          <w:trHeight w:val="281" w:hRule="atLeast"/>
        </w:trPr>
        <w:tc>
          <w:tcPr>
            <w:tcW w:w="202" w:type="pct"/>
            <w:vMerge w:val="continue"/>
            <w:tcBorders>
              <w:left w:val="single" w:color="auto" w:sz="4" w:space="0"/>
              <w:right w:val="single" w:color="auto" w:sz="4" w:space="0"/>
            </w:tcBorders>
            <w:shd w:val="clear" w:color="auto" w:fill="auto"/>
            <w:vAlign w:val="center"/>
          </w:tcPr>
          <w:p w14:paraId="685DFC4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21D52E8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0A3BE65E">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ascii="Times New Roman" w:hAnsi="Times New Roman" w:eastAsia="方正仿宋_GBK" w:cs="Times New Roman"/>
                <w:snapToGrid/>
                <w:color w:val="auto"/>
                <w:lang w:val="en-US" w:eastAsia="zh-CN"/>
              </w:rPr>
            </w:pPr>
            <w:r>
              <w:rPr>
                <w:rFonts w:ascii="Times New Roman" w:hAnsi="Times New Roman" w:eastAsia="方正仿宋_GBK" w:cs="Times New Roman"/>
                <w:snapToGrid/>
                <w:color w:val="auto"/>
                <w:lang w:eastAsia="zh-CN"/>
              </w:rPr>
              <w:t>体育1</w:t>
            </w:r>
            <w:r>
              <w:rPr>
                <w:rFonts w:hint="eastAsia" w:ascii="Times New Roman" w:hAnsi="Times New Roman" w:eastAsia="方正仿宋_GBK" w:cs="Times New Roman"/>
                <w:snapToGrid/>
                <w:color w:val="auto"/>
                <w:lang w:val="en-US" w:eastAsia="zh-CN"/>
              </w:rPr>
              <w:t>-5</w:t>
            </w:r>
          </w:p>
        </w:tc>
        <w:tc>
          <w:tcPr>
            <w:tcW w:w="726" w:type="pct"/>
            <w:tcBorders>
              <w:top w:val="nil"/>
              <w:left w:val="single" w:color="auto" w:sz="4" w:space="0"/>
              <w:bottom w:val="single" w:color="auto" w:sz="4" w:space="0"/>
              <w:right w:val="single" w:color="auto" w:sz="4" w:space="0"/>
            </w:tcBorders>
            <w:shd w:val="clear" w:color="auto" w:fill="auto"/>
            <w:vAlign w:val="center"/>
          </w:tcPr>
          <w:p w14:paraId="37855F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tcBorders>
              <w:top w:val="nil"/>
              <w:left w:val="single" w:color="auto" w:sz="4" w:space="0"/>
              <w:bottom w:val="single" w:color="auto" w:sz="4" w:space="0"/>
              <w:right w:val="single" w:color="auto" w:sz="4" w:space="0"/>
            </w:tcBorders>
            <w:shd w:val="clear" w:color="auto" w:fill="auto"/>
            <w:vAlign w:val="center"/>
          </w:tcPr>
          <w:p w14:paraId="505B42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7</w:t>
            </w:r>
          </w:p>
        </w:tc>
        <w:tc>
          <w:tcPr>
            <w:tcW w:w="340" w:type="pct"/>
            <w:tcBorders>
              <w:top w:val="nil"/>
              <w:left w:val="single" w:color="auto" w:sz="4" w:space="0"/>
              <w:bottom w:val="single" w:color="auto" w:sz="4" w:space="0"/>
              <w:right w:val="single" w:color="auto" w:sz="4" w:space="0"/>
            </w:tcBorders>
            <w:shd w:val="clear" w:color="auto" w:fill="auto"/>
            <w:vAlign w:val="center"/>
          </w:tcPr>
          <w:p w14:paraId="4D8B68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112</w:t>
            </w:r>
          </w:p>
        </w:tc>
        <w:tc>
          <w:tcPr>
            <w:tcW w:w="340" w:type="pct"/>
            <w:tcBorders>
              <w:top w:val="nil"/>
              <w:left w:val="nil"/>
              <w:bottom w:val="single" w:color="auto" w:sz="4" w:space="0"/>
              <w:right w:val="single" w:color="auto" w:sz="4" w:space="0"/>
            </w:tcBorders>
            <w:shd w:val="clear" w:color="auto" w:fill="auto"/>
            <w:vAlign w:val="center"/>
          </w:tcPr>
          <w:p w14:paraId="3A0D64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3952E2B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6E4E8B64">
        <w:tblPrEx>
          <w:tblCellMar>
            <w:top w:w="0" w:type="dxa"/>
            <w:left w:w="108" w:type="dxa"/>
            <w:bottom w:w="0" w:type="dxa"/>
            <w:right w:w="108" w:type="dxa"/>
          </w:tblCellMar>
        </w:tblPrEx>
        <w:trPr>
          <w:trHeight w:val="306" w:hRule="atLeast"/>
        </w:trPr>
        <w:tc>
          <w:tcPr>
            <w:tcW w:w="202" w:type="pct"/>
            <w:vMerge w:val="continue"/>
            <w:tcBorders>
              <w:left w:val="single" w:color="auto" w:sz="4" w:space="0"/>
              <w:right w:val="single" w:color="auto" w:sz="4" w:space="0"/>
            </w:tcBorders>
            <w:shd w:val="clear" w:color="auto" w:fill="auto"/>
            <w:vAlign w:val="center"/>
          </w:tcPr>
          <w:p w14:paraId="3969985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6A8C6F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1E2A026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劳动教育</w:t>
            </w:r>
          </w:p>
        </w:tc>
        <w:tc>
          <w:tcPr>
            <w:tcW w:w="726" w:type="pct"/>
            <w:tcBorders>
              <w:top w:val="nil"/>
              <w:left w:val="nil"/>
              <w:bottom w:val="single" w:color="auto" w:sz="4" w:space="0"/>
              <w:right w:val="single" w:color="auto" w:sz="4" w:space="0"/>
            </w:tcBorders>
            <w:shd w:val="clear" w:color="auto" w:fill="auto"/>
            <w:vAlign w:val="center"/>
          </w:tcPr>
          <w:p w14:paraId="31B7B3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tcBorders>
              <w:top w:val="nil"/>
              <w:left w:val="nil"/>
              <w:bottom w:val="single" w:color="auto" w:sz="4" w:space="0"/>
              <w:right w:val="single" w:color="auto" w:sz="4" w:space="0"/>
            </w:tcBorders>
            <w:shd w:val="clear" w:color="auto" w:fill="auto"/>
            <w:vAlign w:val="center"/>
          </w:tcPr>
          <w:p w14:paraId="0A0423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w:t>
            </w:r>
          </w:p>
        </w:tc>
        <w:tc>
          <w:tcPr>
            <w:tcW w:w="340" w:type="pct"/>
            <w:tcBorders>
              <w:top w:val="nil"/>
              <w:left w:val="nil"/>
              <w:bottom w:val="single" w:color="auto" w:sz="4" w:space="0"/>
              <w:right w:val="single" w:color="auto" w:sz="4" w:space="0"/>
            </w:tcBorders>
            <w:shd w:val="clear" w:color="auto" w:fill="auto"/>
            <w:vAlign w:val="center"/>
          </w:tcPr>
          <w:p w14:paraId="1B51D9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16</w:t>
            </w:r>
          </w:p>
        </w:tc>
        <w:tc>
          <w:tcPr>
            <w:tcW w:w="340" w:type="pct"/>
            <w:tcBorders>
              <w:top w:val="nil"/>
              <w:left w:val="nil"/>
              <w:bottom w:val="single" w:color="auto" w:sz="4" w:space="0"/>
              <w:right w:val="single" w:color="auto" w:sz="4" w:space="0"/>
            </w:tcBorders>
            <w:shd w:val="clear" w:color="auto" w:fill="auto"/>
            <w:vAlign w:val="center"/>
          </w:tcPr>
          <w:p w14:paraId="631EA7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0D571A0D">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1084C30A">
        <w:tblPrEx>
          <w:tblCellMar>
            <w:top w:w="0" w:type="dxa"/>
            <w:left w:w="108" w:type="dxa"/>
            <w:bottom w:w="0" w:type="dxa"/>
            <w:right w:w="108" w:type="dxa"/>
          </w:tblCellMar>
        </w:tblPrEx>
        <w:trPr>
          <w:trHeight w:val="307" w:hRule="atLeast"/>
        </w:trPr>
        <w:tc>
          <w:tcPr>
            <w:tcW w:w="202" w:type="pct"/>
            <w:vMerge w:val="continue"/>
            <w:tcBorders>
              <w:left w:val="single" w:color="auto" w:sz="4" w:space="0"/>
              <w:right w:val="single" w:color="auto" w:sz="4" w:space="0"/>
            </w:tcBorders>
            <w:shd w:val="clear" w:color="auto" w:fill="auto"/>
            <w:vAlign w:val="center"/>
          </w:tcPr>
          <w:p w14:paraId="143E59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shd w:val="clear" w:color="auto" w:fill="auto"/>
            <w:vAlign w:val="center"/>
          </w:tcPr>
          <w:p w14:paraId="0F8E6B0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54BC2A7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大学英语A1-2</w:t>
            </w:r>
          </w:p>
        </w:tc>
        <w:tc>
          <w:tcPr>
            <w:tcW w:w="726" w:type="pct"/>
            <w:vMerge w:val="restart"/>
            <w:tcBorders>
              <w:top w:val="nil"/>
              <w:left w:val="single" w:color="auto" w:sz="4" w:space="0"/>
              <w:bottom w:val="single" w:color="auto" w:sz="4" w:space="0"/>
              <w:right w:val="single" w:color="auto" w:sz="4" w:space="0"/>
            </w:tcBorders>
            <w:shd w:val="clear" w:color="auto" w:fill="auto"/>
            <w:vAlign w:val="center"/>
          </w:tcPr>
          <w:p w14:paraId="5C6277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外国语学院</w:t>
            </w:r>
          </w:p>
        </w:tc>
        <w:tc>
          <w:tcPr>
            <w:tcW w:w="359" w:type="pct"/>
            <w:vMerge w:val="restart"/>
            <w:tcBorders>
              <w:top w:val="nil"/>
              <w:left w:val="single" w:color="auto" w:sz="4" w:space="0"/>
              <w:bottom w:val="single" w:color="auto" w:sz="4" w:space="0"/>
              <w:right w:val="single" w:color="auto" w:sz="4" w:space="0"/>
            </w:tcBorders>
            <w:shd w:val="clear" w:color="auto" w:fill="auto"/>
            <w:vAlign w:val="center"/>
          </w:tcPr>
          <w:p w14:paraId="479117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7</w:t>
            </w:r>
          </w:p>
        </w:tc>
        <w:tc>
          <w:tcPr>
            <w:tcW w:w="340" w:type="pct"/>
            <w:vMerge w:val="restart"/>
            <w:tcBorders>
              <w:top w:val="nil"/>
              <w:left w:val="single" w:color="auto" w:sz="4" w:space="0"/>
              <w:bottom w:val="single" w:color="auto" w:sz="4" w:space="0"/>
              <w:right w:val="single" w:color="auto" w:sz="4" w:space="0"/>
            </w:tcBorders>
            <w:shd w:val="clear" w:color="auto" w:fill="auto"/>
            <w:vAlign w:val="center"/>
          </w:tcPr>
          <w:p w14:paraId="5C12E5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112</w:t>
            </w:r>
          </w:p>
        </w:tc>
        <w:tc>
          <w:tcPr>
            <w:tcW w:w="340" w:type="pct"/>
            <w:tcBorders>
              <w:top w:val="nil"/>
              <w:left w:val="nil"/>
              <w:bottom w:val="single" w:color="auto" w:sz="4" w:space="0"/>
              <w:right w:val="single" w:color="auto" w:sz="4" w:space="0"/>
            </w:tcBorders>
            <w:shd w:val="clear" w:color="auto" w:fill="auto"/>
            <w:vAlign w:val="center"/>
          </w:tcPr>
          <w:p w14:paraId="7CB054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vAlign w:val="center"/>
          </w:tcPr>
          <w:p w14:paraId="5C8C8A1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商学院</w:t>
            </w:r>
          </w:p>
        </w:tc>
      </w:tr>
      <w:tr w14:paraId="76717927">
        <w:tblPrEx>
          <w:tblCellMar>
            <w:top w:w="0" w:type="dxa"/>
            <w:left w:w="108" w:type="dxa"/>
            <w:bottom w:w="0" w:type="dxa"/>
            <w:right w:w="108" w:type="dxa"/>
          </w:tblCellMar>
        </w:tblPrEx>
        <w:trPr>
          <w:trHeight w:val="882" w:hRule="atLeast"/>
        </w:trPr>
        <w:tc>
          <w:tcPr>
            <w:tcW w:w="202" w:type="pct"/>
            <w:vMerge w:val="continue"/>
            <w:tcBorders>
              <w:left w:val="single" w:color="auto" w:sz="4" w:space="0"/>
              <w:right w:val="single" w:color="auto" w:sz="4" w:space="0"/>
            </w:tcBorders>
            <w:vAlign w:val="center"/>
          </w:tcPr>
          <w:p w14:paraId="44637DC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6486E35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453F160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大学英语B1-2</w:t>
            </w:r>
          </w:p>
        </w:tc>
        <w:tc>
          <w:tcPr>
            <w:tcW w:w="726" w:type="pct"/>
            <w:vMerge w:val="continue"/>
            <w:tcBorders>
              <w:top w:val="nil"/>
              <w:left w:val="single" w:color="auto" w:sz="4" w:space="0"/>
              <w:bottom w:val="single" w:color="auto" w:sz="4" w:space="0"/>
              <w:right w:val="single" w:color="auto" w:sz="4" w:space="0"/>
            </w:tcBorders>
            <w:shd w:val="clear" w:color="auto" w:fill="auto"/>
            <w:vAlign w:val="center"/>
          </w:tcPr>
          <w:p w14:paraId="1205C5C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59" w:type="pct"/>
            <w:vMerge w:val="continue"/>
            <w:tcBorders>
              <w:top w:val="nil"/>
              <w:left w:val="single" w:color="auto" w:sz="4" w:space="0"/>
              <w:bottom w:val="single" w:color="auto" w:sz="4" w:space="0"/>
              <w:right w:val="single" w:color="auto" w:sz="4" w:space="0"/>
            </w:tcBorders>
            <w:shd w:val="clear" w:color="auto" w:fill="auto"/>
            <w:vAlign w:val="center"/>
          </w:tcPr>
          <w:p w14:paraId="0374542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40" w:type="pct"/>
            <w:vMerge w:val="continue"/>
            <w:tcBorders>
              <w:top w:val="nil"/>
              <w:left w:val="single" w:color="auto" w:sz="4" w:space="0"/>
              <w:bottom w:val="single" w:color="auto" w:sz="4" w:space="0"/>
              <w:right w:val="single" w:color="auto" w:sz="4" w:space="0"/>
            </w:tcBorders>
            <w:shd w:val="clear" w:color="auto" w:fill="auto"/>
            <w:vAlign w:val="center"/>
          </w:tcPr>
          <w:p w14:paraId="2BA02FC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40" w:type="pct"/>
            <w:tcBorders>
              <w:top w:val="nil"/>
              <w:left w:val="nil"/>
              <w:bottom w:val="single" w:color="auto" w:sz="4" w:space="0"/>
              <w:right w:val="single" w:color="auto" w:sz="4" w:space="0"/>
            </w:tcBorders>
            <w:shd w:val="clear" w:color="auto" w:fill="auto"/>
            <w:vAlign w:val="center"/>
          </w:tcPr>
          <w:p w14:paraId="610A32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vAlign w:val="center"/>
          </w:tcPr>
          <w:p w14:paraId="0715B48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信息工程学院、建筑工程学院、艺术学院（化妆品经营与管理专业</w:t>
            </w:r>
            <w:r>
              <w:rPr>
                <w:rFonts w:hint="eastAsia" w:ascii="Times New Roman" w:hAnsi="Times New Roman" w:eastAsia="方正仿宋_GBK" w:cs="Times New Roman"/>
                <w:snapToGrid/>
                <w:color w:val="auto"/>
                <w:lang w:eastAsia="zh-CN"/>
              </w:rPr>
              <w:t>、</w:t>
            </w:r>
            <w:r>
              <w:rPr>
                <w:rFonts w:ascii="Times New Roman" w:hAnsi="Times New Roman" w:eastAsia="方正仿宋_GBK" w:cs="Times New Roman"/>
                <w:snapToGrid/>
                <w:color w:val="auto"/>
                <w:lang w:eastAsia="zh-CN"/>
              </w:rPr>
              <w:t>休闲服务与管理</w:t>
            </w:r>
            <w:r>
              <w:rPr>
                <w:rFonts w:hint="eastAsia" w:ascii="Times New Roman" w:hAnsi="Times New Roman" w:eastAsia="方正仿宋_GBK" w:cs="Times New Roman"/>
                <w:snapToGrid/>
                <w:color w:val="auto"/>
                <w:lang w:eastAsia="zh-CN"/>
              </w:rPr>
              <w:t>专</w:t>
            </w:r>
            <w:r>
              <w:rPr>
                <w:rFonts w:ascii="Times New Roman" w:hAnsi="Times New Roman" w:eastAsia="方正仿宋_GBK" w:cs="Times New Roman"/>
                <w:snapToGrid/>
                <w:color w:val="auto"/>
                <w:lang w:eastAsia="zh-CN"/>
              </w:rPr>
              <w:t>业）、环境生态学院（除环境艺术设计专业）</w:t>
            </w:r>
          </w:p>
        </w:tc>
      </w:tr>
      <w:tr w14:paraId="2021584B">
        <w:tblPrEx>
          <w:tblCellMar>
            <w:top w:w="0" w:type="dxa"/>
            <w:left w:w="108" w:type="dxa"/>
            <w:bottom w:w="0" w:type="dxa"/>
            <w:right w:w="108" w:type="dxa"/>
          </w:tblCellMar>
        </w:tblPrEx>
        <w:trPr>
          <w:trHeight w:val="540" w:hRule="atLeast"/>
        </w:trPr>
        <w:tc>
          <w:tcPr>
            <w:tcW w:w="202" w:type="pct"/>
            <w:vMerge w:val="continue"/>
            <w:tcBorders>
              <w:left w:val="single" w:color="auto" w:sz="4" w:space="0"/>
              <w:right w:val="single" w:color="auto" w:sz="4" w:space="0"/>
            </w:tcBorders>
            <w:vAlign w:val="center"/>
          </w:tcPr>
          <w:p w14:paraId="03E0B81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1158100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330CF672">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大学英语C1-2</w:t>
            </w:r>
          </w:p>
        </w:tc>
        <w:tc>
          <w:tcPr>
            <w:tcW w:w="726" w:type="pct"/>
            <w:vMerge w:val="continue"/>
            <w:tcBorders>
              <w:top w:val="nil"/>
              <w:left w:val="single" w:color="auto" w:sz="4" w:space="0"/>
              <w:bottom w:val="single" w:color="auto" w:sz="4" w:space="0"/>
              <w:right w:val="single" w:color="auto" w:sz="4" w:space="0"/>
            </w:tcBorders>
            <w:shd w:val="clear" w:color="auto" w:fill="auto"/>
            <w:vAlign w:val="center"/>
          </w:tcPr>
          <w:p w14:paraId="49569E9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59" w:type="pct"/>
            <w:vMerge w:val="continue"/>
            <w:tcBorders>
              <w:top w:val="nil"/>
              <w:left w:val="single" w:color="auto" w:sz="4" w:space="0"/>
              <w:bottom w:val="single" w:color="auto" w:sz="4" w:space="0"/>
              <w:right w:val="single" w:color="auto" w:sz="4" w:space="0"/>
            </w:tcBorders>
            <w:shd w:val="clear" w:color="auto" w:fill="auto"/>
            <w:vAlign w:val="center"/>
          </w:tcPr>
          <w:p w14:paraId="6646C18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40" w:type="pct"/>
            <w:vMerge w:val="continue"/>
            <w:tcBorders>
              <w:top w:val="nil"/>
              <w:left w:val="single" w:color="auto" w:sz="4" w:space="0"/>
              <w:bottom w:val="single" w:color="auto" w:sz="4" w:space="0"/>
              <w:right w:val="single" w:color="auto" w:sz="4" w:space="0"/>
            </w:tcBorders>
            <w:shd w:val="clear" w:color="auto" w:fill="auto"/>
            <w:vAlign w:val="center"/>
          </w:tcPr>
          <w:p w14:paraId="7D7087C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40" w:type="pct"/>
            <w:tcBorders>
              <w:top w:val="nil"/>
              <w:left w:val="nil"/>
              <w:bottom w:val="single" w:color="auto" w:sz="4" w:space="0"/>
              <w:right w:val="single" w:color="auto" w:sz="4" w:space="0"/>
            </w:tcBorders>
            <w:shd w:val="clear" w:color="auto" w:fill="auto"/>
            <w:vAlign w:val="center"/>
          </w:tcPr>
          <w:p w14:paraId="30DFE2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vAlign w:val="center"/>
          </w:tcPr>
          <w:p w14:paraId="682D73DF">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艺术学院（人物形象设计专业）、环境生态学院（环境艺术设计专业）、设计学院</w:t>
            </w:r>
          </w:p>
        </w:tc>
      </w:tr>
      <w:tr w14:paraId="0E9B1CCE">
        <w:tblPrEx>
          <w:tblCellMar>
            <w:top w:w="0" w:type="dxa"/>
            <w:left w:w="108" w:type="dxa"/>
            <w:bottom w:w="0" w:type="dxa"/>
            <w:right w:w="108" w:type="dxa"/>
          </w:tblCellMar>
        </w:tblPrEx>
        <w:trPr>
          <w:trHeight w:val="275" w:hRule="atLeast"/>
        </w:trPr>
        <w:tc>
          <w:tcPr>
            <w:tcW w:w="202" w:type="pct"/>
            <w:vMerge w:val="continue"/>
            <w:tcBorders>
              <w:left w:val="single" w:color="auto" w:sz="4" w:space="0"/>
              <w:right w:val="single" w:color="auto" w:sz="4" w:space="0"/>
            </w:tcBorders>
            <w:vAlign w:val="center"/>
          </w:tcPr>
          <w:p w14:paraId="4CD0D35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6E998F4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118B081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大学语文</w:t>
            </w:r>
          </w:p>
        </w:tc>
        <w:tc>
          <w:tcPr>
            <w:tcW w:w="726" w:type="pct"/>
            <w:tcBorders>
              <w:top w:val="nil"/>
              <w:left w:val="single" w:color="auto" w:sz="4" w:space="0"/>
              <w:bottom w:val="single" w:color="auto" w:sz="4" w:space="0"/>
              <w:right w:val="single" w:color="auto" w:sz="4" w:space="0"/>
            </w:tcBorders>
            <w:shd w:val="clear" w:color="auto" w:fill="auto"/>
            <w:vAlign w:val="center"/>
          </w:tcPr>
          <w:p w14:paraId="6B325C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tcBorders>
              <w:top w:val="nil"/>
              <w:left w:val="single" w:color="auto" w:sz="4" w:space="0"/>
              <w:bottom w:val="single" w:color="000000" w:sz="4" w:space="0"/>
              <w:right w:val="single" w:color="auto" w:sz="4" w:space="0"/>
            </w:tcBorders>
            <w:shd w:val="clear" w:color="auto" w:fill="auto"/>
            <w:vAlign w:val="center"/>
          </w:tcPr>
          <w:p w14:paraId="57F7F6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nil"/>
              <w:bottom w:val="single" w:color="auto" w:sz="4" w:space="0"/>
              <w:right w:val="single" w:color="auto" w:sz="4" w:space="0"/>
            </w:tcBorders>
            <w:shd w:val="clear" w:color="auto" w:fill="auto"/>
            <w:vAlign w:val="center"/>
          </w:tcPr>
          <w:p w14:paraId="428BA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32</w:t>
            </w:r>
          </w:p>
        </w:tc>
        <w:tc>
          <w:tcPr>
            <w:tcW w:w="340" w:type="pct"/>
            <w:tcBorders>
              <w:top w:val="nil"/>
              <w:left w:val="single" w:color="auto" w:sz="4" w:space="0"/>
              <w:bottom w:val="single" w:color="auto" w:sz="4" w:space="0"/>
              <w:right w:val="single" w:color="auto" w:sz="4" w:space="0"/>
            </w:tcBorders>
            <w:shd w:val="clear" w:color="auto" w:fill="auto"/>
            <w:vAlign w:val="center"/>
          </w:tcPr>
          <w:p w14:paraId="105937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vAlign w:val="center"/>
          </w:tcPr>
          <w:p w14:paraId="571F719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hint="eastAsia" w:ascii="Times New Roman" w:hAnsi="Times New Roman" w:eastAsia="方正仿宋_GBK" w:cs="Times New Roman"/>
                <w:snapToGrid/>
                <w:lang w:eastAsia="zh-CN"/>
              </w:rPr>
              <w:t>所有学院</w:t>
            </w:r>
          </w:p>
        </w:tc>
      </w:tr>
      <w:tr w14:paraId="378B0F10">
        <w:tblPrEx>
          <w:tblCellMar>
            <w:top w:w="0" w:type="dxa"/>
            <w:left w:w="108" w:type="dxa"/>
            <w:bottom w:w="0" w:type="dxa"/>
            <w:right w:w="108" w:type="dxa"/>
          </w:tblCellMar>
        </w:tblPrEx>
        <w:trPr>
          <w:trHeight w:val="343" w:hRule="atLeast"/>
        </w:trPr>
        <w:tc>
          <w:tcPr>
            <w:tcW w:w="202" w:type="pct"/>
            <w:vMerge w:val="continue"/>
            <w:tcBorders>
              <w:left w:val="single" w:color="auto" w:sz="4" w:space="0"/>
              <w:right w:val="single" w:color="auto" w:sz="4" w:space="0"/>
            </w:tcBorders>
            <w:vAlign w:val="center"/>
          </w:tcPr>
          <w:p w14:paraId="3FD383A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4BD9A959">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55C1C97D">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经济数学</w:t>
            </w:r>
          </w:p>
        </w:tc>
        <w:tc>
          <w:tcPr>
            <w:tcW w:w="726" w:type="pct"/>
            <w:tcBorders>
              <w:top w:val="nil"/>
              <w:left w:val="nil"/>
              <w:bottom w:val="single" w:color="auto" w:sz="4" w:space="0"/>
              <w:right w:val="single" w:color="auto" w:sz="4" w:space="0"/>
            </w:tcBorders>
            <w:shd w:val="clear" w:color="auto" w:fill="auto"/>
            <w:vAlign w:val="center"/>
          </w:tcPr>
          <w:p w14:paraId="632BE0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vMerge w:val="restart"/>
            <w:tcBorders>
              <w:top w:val="nil"/>
              <w:left w:val="single" w:color="auto" w:sz="4" w:space="0"/>
              <w:bottom w:val="single" w:color="000000" w:sz="4" w:space="0"/>
              <w:right w:val="single" w:color="auto" w:sz="4" w:space="0"/>
            </w:tcBorders>
            <w:shd w:val="clear" w:color="auto" w:fill="auto"/>
            <w:vAlign w:val="center"/>
          </w:tcPr>
          <w:p w14:paraId="12B127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4</w:t>
            </w:r>
          </w:p>
        </w:tc>
        <w:tc>
          <w:tcPr>
            <w:tcW w:w="340" w:type="pct"/>
            <w:tcBorders>
              <w:top w:val="nil"/>
              <w:left w:val="nil"/>
              <w:bottom w:val="single" w:color="auto" w:sz="4" w:space="0"/>
              <w:right w:val="single" w:color="auto" w:sz="4" w:space="0"/>
            </w:tcBorders>
            <w:shd w:val="clear" w:color="auto" w:fill="auto"/>
            <w:vAlign w:val="center"/>
          </w:tcPr>
          <w:p w14:paraId="0C96F7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64</w:t>
            </w:r>
          </w:p>
        </w:tc>
        <w:tc>
          <w:tcPr>
            <w:tcW w:w="340" w:type="pct"/>
            <w:tcBorders>
              <w:top w:val="nil"/>
              <w:left w:val="nil"/>
              <w:bottom w:val="single" w:color="auto" w:sz="4" w:space="0"/>
              <w:right w:val="single" w:color="auto" w:sz="4" w:space="0"/>
            </w:tcBorders>
            <w:shd w:val="clear" w:color="auto" w:fill="auto"/>
            <w:vAlign w:val="center"/>
          </w:tcPr>
          <w:p w14:paraId="5A040F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noWrap/>
            <w:vAlign w:val="center"/>
          </w:tcPr>
          <w:p w14:paraId="5DDD8F1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商学院</w:t>
            </w:r>
          </w:p>
        </w:tc>
      </w:tr>
      <w:tr w14:paraId="73583D18">
        <w:tblPrEx>
          <w:tblCellMar>
            <w:top w:w="0" w:type="dxa"/>
            <w:left w:w="108" w:type="dxa"/>
            <w:bottom w:w="0" w:type="dxa"/>
            <w:right w:w="108" w:type="dxa"/>
          </w:tblCellMar>
        </w:tblPrEx>
        <w:trPr>
          <w:trHeight w:val="214" w:hRule="atLeast"/>
        </w:trPr>
        <w:tc>
          <w:tcPr>
            <w:tcW w:w="202" w:type="pct"/>
            <w:vMerge w:val="continue"/>
            <w:tcBorders>
              <w:left w:val="single" w:color="auto" w:sz="4" w:space="0"/>
              <w:right w:val="single" w:color="auto" w:sz="4" w:space="0"/>
            </w:tcBorders>
            <w:vAlign w:val="center"/>
          </w:tcPr>
          <w:p w14:paraId="265754F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51E4282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7E7F0E2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工科数学</w:t>
            </w:r>
          </w:p>
        </w:tc>
        <w:tc>
          <w:tcPr>
            <w:tcW w:w="726" w:type="pct"/>
            <w:tcBorders>
              <w:top w:val="nil"/>
              <w:left w:val="nil"/>
              <w:bottom w:val="single" w:color="auto" w:sz="4" w:space="0"/>
              <w:right w:val="single" w:color="auto" w:sz="4" w:space="0"/>
            </w:tcBorders>
            <w:shd w:val="clear" w:color="auto" w:fill="auto"/>
            <w:vAlign w:val="center"/>
          </w:tcPr>
          <w:p w14:paraId="70FF6A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教育学院</w:t>
            </w:r>
          </w:p>
        </w:tc>
        <w:tc>
          <w:tcPr>
            <w:tcW w:w="359" w:type="pct"/>
            <w:vMerge w:val="continue"/>
            <w:tcBorders>
              <w:top w:val="nil"/>
              <w:left w:val="single" w:color="auto" w:sz="4" w:space="0"/>
              <w:bottom w:val="single" w:color="000000" w:sz="4" w:space="0"/>
              <w:right w:val="single" w:color="auto" w:sz="4" w:space="0"/>
            </w:tcBorders>
            <w:shd w:val="clear" w:color="auto" w:fill="auto"/>
            <w:vAlign w:val="center"/>
          </w:tcPr>
          <w:p w14:paraId="7DFA249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40" w:type="pct"/>
            <w:tcBorders>
              <w:top w:val="nil"/>
              <w:left w:val="nil"/>
              <w:bottom w:val="single" w:color="auto" w:sz="4" w:space="0"/>
              <w:right w:val="single" w:color="auto" w:sz="4" w:space="0"/>
            </w:tcBorders>
            <w:shd w:val="clear" w:color="auto" w:fill="auto"/>
            <w:vAlign w:val="center"/>
          </w:tcPr>
          <w:p w14:paraId="3C010E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64</w:t>
            </w:r>
          </w:p>
        </w:tc>
        <w:tc>
          <w:tcPr>
            <w:tcW w:w="340" w:type="pct"/>
            <w:tcBorders>
              <w:top w:val="nil"/>
              <w:left w:val="nil"/>
              <w:bottom w:val="single" w:color="auto" w:sz="4" w:space="0"/>
              <w:right w:val="single" w:color="auto" w:sz="4" w:space="0"/>
            </w:tcBorders>
            <w:shd w:val="clear" w:color="auto" w:fill="auto"/>
            <w:vAlign w:val="center"/>
          </w:tcPr>
          <w:p w14:paraId="0CDBE67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考试</w:t>
            </w:r>
          </w:p>
        </w:tc>
        <w:tc>
          <w:tcPr>
            <w:tcW w:w="1815" w:type="pct"/>
            <w:tcBorders>
              <w:top w:val="nil"/>
              <w:left w:val="nil"/>
              <w:bottom w:val="single" w:color="auto" w:sz="4" w:space="0"/>
              <w:right w:val="single" w:color="auto" w:sz="4" w:space="0"/>
            </w:tcBorders>
            <w:shd w:val="clear" w:color="auto" w:fill="auto"/>
            <w:vAlign w:val="center"/>
          </w:tcPr>
          <w:p w14:paraId="47F9E8BA">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hint="eastAsia" w:ascii="Times New Roman" w:hAnsi="Times New Roman" w:eastAsia="方正仿宋_GBK" w:cs="Times New Roman"/>
                <w:snapToGrid/>
                <w:lang w:eastAsia="zh-CN"/>
              </w:rPr>
              <w:t>信息工程学院、建筑工程学院、环境生态学院（不包含环境艺术设计专业）</w:t>
            </w:r>
          </w:p>
        </w:tc>
      </w:tr>
      <w:tr w14:paraId="272AA98C">
        <w:tblPrEx>
          <w:tblCellMar>
            <w:top w:w="0" w:type="dxa"/>
            <w:left w:w="108" w:type="dxa"/>
            <w:bottom w:w="0" w:type="dxa"/>
            <w:right w:w="108" w:type="dxa"/>
          </w:tblCellMar>
        </w:tblPrEx>
        <w:trPr>
          <w:trHeight w:val="410" w:hRule="atLeast"/>
        </w:trPr>
        <w:tc>
          <w:tcPr>
            <w:tcW w:w="202" w:type="pct"/>
            <w:vMerge w:val="continue"/>
            <w:tcBorders>
              <w:left w:val="single" w:color="auto" w:sz="4" w:space="0"/>
              <w:right w:val="single" w:color="auto" w:sz="4" w:space="0"/>
            </w:tcBorders>
            <w:vAlign w:val="center"/>
          </w:tcPr>
          <w:p w14:paraId="3585D51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74FD1413">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2A661DA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highlight w:val="yellow"/>
                <w:lang w:eastAsia="zh-CN"/>
              </w:rPr>
            </w:pPr>
            <w:r>
              <w:rPr>
                <w:rFonts w:hint="eastAsia" w:ascii="Times New Roman" w:hAnsi="Times New Roman" w:eastAsia="方正仿宋_GBK" w:cs="Times New Roman"/>
                <w:snapToGrid/>
                <w:color w:val="auto"/>
                <w:lang w:eastAsia="zh-CN"/>
              </w:rPr>
              <w:t>职业生涯规划</w:t>
            </w:r>
          </w:p>
        </w:tc>
        <w:tc>
          <w:tcPr>
            <w:tcW w:w="726" w:type="pct"/>
            <w:tcBorders>
              <w:top w:val="nil"/>
              <w:left w:val="nil"/>
              <w:bottom w:val="single" w:color="auto" w:sz="4" w:space="0"/>
              <w:right w:val="single" w:color="auto" w:sz="4" w:space="0"/>
            </w:tcBorders>
            <w:shd w:val="clear" w:color="auto" w:fill="auto"/>
            <w:vAlign w:val="center"/>
          </w:tcPr>
          <w:p w14:paraId="7ED6B1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学生工作处</w:t>
            </w:r>
          </w:p>
        </w:tc>
        <w:tc>
          <w:tcPr>
            <w:tcW w:w="359" w:type="pct"/>
            <w:tcBorders>
              <w:top w:val="nil"/>
              <w:left w:val="nil"/>
              <w:bottom w:val="single" w:color="auto" w:sz="4" w:space="0"/>
              <w:right w:val="single" w:color="auto" w:sz="4" w:space="0"/>
            </w:tcBorders>
            <w:shd w:val="clear" w:color="auto" w:fill="auto"/>
            <w:vAlign w:val="center"/>
          </w:tcPr>
          <w:p w14:paraId="2C921B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w:t>
            </w:r>
          </w:p>
        </w:tc>
        <w:tc>
          <w:tcPr>
            <w:tcW w:w="340" w:type="pct"/>
            <w:tcBorders>
              <w:top w:val="nil"/>
              <w:left w:val="nil"/>
              <w:bottom w:val="single" w:color="auto" w:sz="4" w:space="0"/>
              <w:right w:val="single" w:color="auto" w:sz="4" w:space="0"/>
            </w:tcBorders>
            <w:shd w:val="clear" w:color="auto" w:fill="auto"/>
            <w:vAlign w:val="center"/>
          </w:tcPr>
          <w:p w14:paraId="77AD23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16</w:t>
            </w:r>
          </w:p>
        </w:tc>
        <w:tc>
          <w:tcPr>
            <w:tcW w:w="340" w:type="pct"/>
            <w:tcBorders>
              <w:top w:val="nil"/>
              <w:left w:val="nil"/>
              <w:bottom w:val="single" w:color="auto" w:sz="4" w:space="0"/>
              <w:right w:val="single" w:color="auto" w:sz="4" w:space="0"/>
            </w:tcBorders>
            <w:shd w:val="clear" w:color="auto" w:fill="auto"/>
            <w:vAlign w:val="center"/>
          </w:tcPr>
          <w:p w14:paraId="6B9599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7118D82D">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0164E385">
        <w:tblPrEx>
          <w:tblCellMar>
            <w:top w:w="0" w:type="dxa"/>
            <w:left w:w="108" w:type="dxa"/>
            <w:bottom w:w="0" w:type="dxa"/>
            <w:right w:w="108" w:type="dxa"/>
          </w:tblCellMar>
        </w:tblPrEx>
        <w:trPr>
          <w:trHeight w:val="373" w:hRule="atLeast"/>
        </w:trPr>
        <w:tc>
          <w:tcPr>
            <w:tcW w:w="202" w:type="pct"/>
            <w:vMerge w:val="continue"/>
            <w:tcBorders>
              <w:left w:val="single" w:color="auto" w:sz="4" w:space="0"/>
              <w:right w:val="single" w:color="auto" w:sz="4" w:space="0"/>
            </w:tcBorders>
            <w:vAlign w:val="center"/>
          </w:tcPr>
          <w:p w14:paraId="212AE3C5">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08824B7B">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7CFEBDD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hint="eastAsia" w:ascii="Times New Roman" w:hAnsi="Times New Roman" w:eastAsia="方正仿宋_GBK" w:cs="Times New Roman"/>
                <w:snapToGrid/>
                <w:color w:val="auto"/>
                <w:lang w:eastAsia="zh-CN"/>
              </w:rPr>
              <w:t>就业与创业指导</w:t>
            </w:r>
          </w:p>
        </w:tc>
        <w:tc>
          <w:tcPr>
            <w:tcW w:w="726" w:type="pct"/>
            <w:tcBorders>
              <w:top w:val="nil"/>
              <w:left w:val="nil"/>
              <w:bottom w:val="single" w:color="auto" w:sz="4" w:space="0"/>
              <w:right w:val="single" w:color="auto" w:sz="4" w:space="0"/>
            </w:tcBorders>
            <w:shd w:val="clear" w:color="auto" w:fill="auto"/>
            <w:vAlign w:val="center"/>
          </w:tcPr>
          <w:p w14:paraId="65DE3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学生工作处</w:t>
            </w:r>
          </w:p>
        </w:tc>
        <w:tc>
          <w:tcPr>
            <w:tcW w:w="359" w:type="pct"/>
            <w:tcBorders>
              <w:top w:val="nil"/>
              <w:left w:val="nil"/>
              <w:bottom w:val="single" w:color="auto" w:sz="4" w:space="0"/>
              <w:right w:val="single" w:color="auto" w:sz="4" w:space="0"/>
            </w:tcBorders>
            <w:shd w:val="clear" w:color="auto" w:fill="auto"/>
            <w:vAlign w:val="center"/>
          </w:tcPr>
          <w:p w14:paraId="6E0796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w:t>
            </w:r>
          </w:p>
        </w:tc>
        <w:tc>
          <w:tcPr>
            <w:tcW w:w="340" w:type="pct"/>
            <w:tcBorders>
              <w:top w:val="nil"/>
              <w:left w:val="nil"/>
              <w:bottom w:val="single" w:color="auto" w:sz="4" w:space="0"/>
              <w:right w:val="single" w:color="auto" w:sz="4" w:space="0"/>
            </w:tcBorders>
            <w:shd w:val="clear" w:color="auto" w:fill="auto"/>
            <w:vAlign w:val="center"/>
          </w:tcPr>
          <w:p w14:paraId="6D758F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16</w:t>
            </w:r>
          </w:p>
        </w:tc>
        <w:tc>
          <w:tcPr>
            <w:tcW w:w="340" w:type="pct"/>
            <w:tcBorders>
              <w:top w:val="nil"/>
              <w:left w:val="nil"/>
              <w:bottom w:val="single" w:color="auto" w:sz="4" w:space="0"/>
              <w:right w:val="single" w:color="auto" w:sz="4" w:space="0"/>
            </w:tcBorders>
            <w:shd w:val="clear" w:color="auto" w:fill="auto"/>
            <w:vAlign w:val="center"/>
          </w:tcPr>
          <w:p w14:paraId="056B1F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6D46157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r w14:paraId="45A252E4">
        <w:tblPrEx>
          <w:tblCellMar>
            <w:top w:w="0" w:type="dxa"/>
            <w:left w:w="108" w:type="dxa"/>
            <w:bottom w:w="0" w:type="dxa"/>
            <w:right w:w="108" w:type="dxa"/>
          </w:tblCellMar>
        </w:tblPrEx>
        <w:trPr>
          <w:trHeight w:val="502" w:hRule="atLeast"/>
        </w:trPr>
        <w:tc>
          <w:tcPr>
            <w:tcW w:w="202" w:type="pct"/>
            <w:vMerge w:val="continue"/>
            <w:tcBorders>
              <w:left w:val="single" w:color="auto" w:sz="4" w:space="0"/>
              <w:right w:val="single" w:color="auto" w:sz="4" w:space="0"/>
            </w:tcBorders>
            <w:vAlign w:val="center"/>
          </w:tcPr>
          <w:p w14:paraId="0AA24AE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right w:val="single" w:color="auto" w:sz="4" w:space="0"/>
            </w:tcBorders>
            <w:vAlign w:val="center"/>
          </w:tcPr>
          <w:p w14:paraId="18733868">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467AAC76">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信息技术</w:t>
            </w:r>
          </w:p>
        </w:tc>
        <w:tc>
          <w:tcPr>
            <w:tcW w:w="726" w:type="pct"/>
            <w:tcBorders>
              <w:top w:val="nil"/>
              <w:left w:val="nil"/>
              <w:bottom w:val="single" w:color="auto" w:sz="4" w:space="0"/>
              <w:right w:val="single" w:color="auto" w:sz="4" w:space="0"/>
            </w:tcBorders>
            <w:shd w:val="clear" w:color="auto" w:fill="auto"/>
            <w:vAlign w:val="center"/>
          </w:tcPr>
          <w:p w14:paraId="27F461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信息工程学院</w:t>
            </w:r>
          </w:p>
        </w:tc>
        <w:tc>
          <w:tcPr>
            <w:tcW w:w="359" w:type="pct"/>
            <w:tcBorders>
              <w:top w:val="nil"/>
              <w:left w:val="nil"/>
              <w:bottom w:val="single" w:color="auto" w:sz="4" w:space="0"/>
              <w:right w:val="single" w:color="auto" w:sz="4" w:space="0"/>
            </w:tcBorders>
            <w:shd w:val="clear" w:color="auto" w:fill="auto"/>
            <w:vAlign w:val="center"/>
          </w:tcPr>
          <w:p w14:paraId="7C9A58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w:t>
            </w:r>
          </w:p>
        </w:tc>
        <w:tc>
          <w:tcPr>
            <w:tcW w:w="340" w:type="pct"/>
            <w:tcBorders>
              <w:top w:val="nil"/>
              <w:left w:val="nil"/>
              <w:bottom w:val="single" w:color="auto" w:sz="4" w:space="0"/>
              <w:right w:val="single" w:color="auto" w:sz="4" w:space="0"/>
            </w:tcBorders>
            <w:shd w:val="clear" w:color="auto" w:fill="auto"/>
            <w:vAlign w:val="center"/>
          </w:tcPr>
          <w:p w14:paraId="7C8FC1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48</w:t>
            </w:r>
          </w:p>
        </w:tc>
        <w:tc>
          <w:tcPr>
            <w:tcW w:w="340" w:type="pct"/>
            <w:tcBorders>
              <w:top w:val="nil"/>
              <w:left w:val="nil"/>
              <w:bottom w:val="single" w:color="auto" w:sz="4" w:space="0"/>
              <w:right w:val="single" w:color="auto" w:sz="4" w:space="0"/>
            </w:tcBorders>
            <w:shd w:val="clear" w:color="auto" w:fill="auto"/>
            <w:vAlign w:val="center"/>
          </w:tcPr>
          <w:p w14:paraId="48AAF5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hint="eastAsia"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54B12364">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计算机类专业按需设置《信息技术》，其他专业为必修</w:t>
            </w:r>
          </w:p>
        </w:tc>
      </w:tr>
      <w:tr w14:paraId="5F74C772">
        <w:tblPrEx>
          <w:tblCellMar>
            <w:top w:w="0" w:type="dxa"/>
            <w:left w:w="108" w:type="dxa"/>
            <w:bottom w:w="0" w:type="dxa"/>
            <w:right w:w="108" w:type="dxa"/>
          </w:tblCellMar>
        </w:tblPrEx>
        <w:trPr>
          <w:trHeight w:val="588" w:hRule="atLeast"/>
        </w:trPr>
        <w:tc>
          <w:tcPr>
            <w:tcW w:w="202" w:type="pct"/>
            <w:vMerge w:val="continue"/>
            <w:tcBorders>
              <w:left w:val="single" w:color="auto" w:sz="4" w:space="0"/>
              <w:right w:val="single" w:color="auto" w:sz="4" w:space="0"/>
            </w:tcBorders>
            <w:vAlign w:val="center"/>
          </w:tcPr>
          <w:p w14:paraId="61F9EADE">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333" w:type="pct"/>
            <w:vMerge w:val="continue"/>
            <w:tcBorders>
              <w:left w:val="single" w:color="auto" w:sz="4" w:space="0"/>
              <w:bottom w:val="single" w:color="auto" w:sz="4" w:space="0"/>
              <w:right w:val="single" w:color="auto" w:sz="4" w:space="0"/>
            </w:tcBorders>
            <w:vAlign w:val="center"/>
          </w:tcPr>
          <w:p w14:paraId="7139198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880" w:type="pct"/>
            <w:tcBorders>
              <w:top w:val="nil"/>
              <w:left w:val="nil"/>
              <w:bottom w:val="single" w:color="auto" w:sz="4" w:space="0"/>
              <w:right w:val="single" w:color="auto" w:sz="4" w:space="0"/>
            </w:tcBorders>
            <w:shd w:val="clear" w:color="auto" w:fill="auto"/>
            <w:vAlign w:val="center"/>
          </w:tcPr>
          <w:p w14:paraId="4CD49130">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r>
              <w:rPr>
                <w:rFonts w:hint="eastAsia" w:ascii="Times New Roman" w:hAnsi="Times New Roman" w:eastAsia="方正仿宋_GBK" w:cs="Times New Roman"/>
                <w:snapToGrid/>
                <w:color w:val="auto"/>
                <w:lang w:eastAsia="zh-CN"/>
              </w:rPr>
              <w:t>人工智能应用基础</w:t>
            </w:r>
          </w:p>
        </w:tc>
        <w:tc>
          <w:tcPr>
            <w:tcW w:w="726" w:type="pct"/>
            <w:tcBorders>
              <w:top w:val="nil"/>
              <w:left w:val="nil"/>
              <w:bottom w:val="single" w:color="auto" w:sz="4" w:space="0"/>
              <w:right w:val="single" w:color="auto" w:sz="4" w:space="0"/>
            </w:tcBorders>
            <w:shd w:val="clear" w:color="auto" w:fill="auto"/>
            <w:vAlign w:val="center"/>
          </w:tcPr>
          <w:p w14:paraId="5E2C04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信息工程学院及各学院</w:t>
            </w:r>
          </w:p>
        </w:tc>
        <w:tc>
          <w:tcPr>
            <w:tcW w:w="359" w:type="pct"/>
            <w:tcBorders>
              <w:top w:val="nil"/>
              <w:left w:val="nil"/>
              <w:bottom w:val="single" w:color="auto" w:sz="4" w:space="0"/>
              <w:right w:val="single" w:color="auto" w:sz="4" w:space="0"/>
            </w:tcBorders>
            <w:shd w:val="clear" w:color="auto" w:fill="auto"/>
            <w:vAlign w:val="center"/>
          </w:tcPr>
          <w:p w14:paraId="4F89AB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2</w:t>
            </w:r>
          </w:p>
        </w:tc>
        <w:tc>
          <w:tcPr>
            <w:tcW w:w="340" w:type="pct"/>
            <w:tcBorders>
              <w:top w:val="nil"/>
              <w:left w:val="nil"/>
              <w:bottom w:val="single" w:color="auto" w:sz="4" w:space="0"/>
              <w:right w:val="single" w:color="auto" w:sz="4" w:space="0"/>
            </w:tcBorders>
            <w:shd w:val="clear" w:color="auto" w:fill="auto"/>
            <w:vAlign w:val="center"/>
          </w:tcPr>
          <w:p w14:paraId="404F57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32</w:t>
            </w:r>
          </w:p>
        </w:tc>
        <w:tc>
          <w:tcPr>
            <w:tcW w:w="340" w:type="pct"/>
            <w:tcBorders>
              <w:top w:val="nil"/>
              <w:left w:val="nil"/>
              <w:bottom w:val="single" w:color="auto" w:sz="4" w:space="0"/>
              <w:right w:val="single" w:color="auto" w:sz="4" w:space="0"/>
            </w:tcBorders>
            <w:shd w:val="clear" w:color="auto" w:fill="auto"/>
            <w:vAlign w:val="center"/>
          </w:tcPr>
          <w:p w14:paraId="52040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考查</w:t>
            </w:r>
          </w:p>
        </w:tc>
        <w:tc>
          <w:tcPr>
            <w:tcW w:w="1815" w:type="pct"/>
            <w:tcBorders>
              <w:top w:val="nil"/>
              <w:left w:val="nil"/>
              <w:bottom w:val="single" w:color="auto" w:sz="4" w:space="0"/>
              <w:right w:val="single" w:color="auto" w:sz="4" w:space="0"/>
            </w:tcBorders>
            <w:shd w:val="clear" w:color="auto" w:fill="auto"/>
            <w:noWrap/>
            <w:vAlign w:val="center"/>
          </w:tcPr>
          <w:p w14:paraId="194464C7">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hint="eastAsia" w:ascii="Times New Roman" w:hAnsi="Times New Roman" w:eastAsia="方正仿宋_GBK" w:cs="Times New Roman"/>
                <w:snapToGrid/>
                <w:lang w:eastAsia="zh-CN"/>
              </w:rPr>
              <w:t>计算机类专业按需设置《人工智能应用基础》，其他专业为必修</w:t>
            </w:r>
          </w:p>
        </w:tc>
      </w:tr>
      <w:tr w14:paraId="4FF83703">
        <w:tblPrEx>
          <w:tblCellMar>
            <w:top w:w="0" w:type="dxa"/>
            <w:left w:w="108" w:type="dxa"/>
            <w:bottom w:w="0" w:type="dxa"/>
            <w:right w:w="108" w:type="dxa"/>
          </w:tblCellMar>
        </w:tblPrEx>
        <w:trPr>
          <w:trHeight w:val="389" w:hRule="atLeast"/>
        </w:trPr>
        <w:tc>
          <w:tcPr>
            <w:tcW w:w="202" w:type="pct"/>
            <w:vMerge w:val="continue"/>
            <w:tcBorders>
              <w:left w:val="single" w:color="auto" w:sz="4" w:space="0"/>
              <w:bottom w:val="single" w:color="auto" w:sz="4" w:space="0"/>
              <w:right w:val="single" w:color="auto" w:sz="4" w:space="0"/>
            </w:tcBorders>
            <w:vAlign w:val="center"/>
          </w:tcPr>
          <w:p w14:paraId="5D42EBA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color w:val="auto"/>
                <w:lang w:eastAsia="zh-CN"/>
              </w:rPr>
            </w:pPr>
          </w:p>
        </w:tc>
        <w:tc>
          <w:tcPr>
            <w:tcW w:w="1940" w:type="pct"/>
            <w:gridSpan w:val="3"/>
            <w:tcBorders>
              <w:top w:val="single" w:color="auto" w:sz="4" w:space="0"/>
              <w:left w:val="nil"/>
              <w:bottom w:val="single" w:color="auto" w:sz="4" w:space="0"/>
              <w:right w:val="single" w:color="000000" w:sz="4" w:space="0"/>
            </w:tcBorders>
            <w:shd w:val="clear" w:color="auto" w:fill="auto"/>
            <w:vAlign w:val="center"/>
          </w:tcPr>
          <w:p w14:paraId="123BE0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公共选修课程</w:t>
            </w:r>
          </w:p>
        </w:tc>
        <w:tc>
          <w:tcPr>
            <w:tcW w:w="359" w:type="pct"/>
            <w:tcBorders>
              <w:top w:val="nil"/>
              <w:left w:val="nil"/>
              <w:bottom w:val="single" w:color="auto" w:sz="4" w:space="0"/>
              <w:right w:val="single" w:color="auto" w:sz="4" w:space="0"/>
            </w:tcBorders>
            <w:shd w:val="clear" w:color="auto" w:fill="auto"/>
            <w:vAlign w:val="center"/>
          </w:tcPr>
          <w:p w14:paraId="6482C8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8</w:t>
            </w:r>
          </w:p>
        </w:tc>
        <w:tc>
          <w:tcPr>
            <w:tcW w:w="340" w:type="pct"/>
            <w:tcBorders>
              <w:top w:val="nil"/>
              <w:left w:val="nil"/>
              <w:bottom w:val="single" w:color="auto" w:sz="4" w:space="0"/>
              <w:right w:val="single" w:color="auto" w:sz="4" w:space="0"/>
            </w:tcBorders>
            <w:shd w:val="clear" w:color="auto" w:fill="auto"/>
            <w:vAlign w:val="center"/>
          </w:tcPr>
          <w:p w14:paraId="373C38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r>
              <w:rPr>
                <w:rFonts w:ascii="Times New Roman" w:hAnsi="Times New Roman" w:eastAsia="方正仿宋_GBK" w:cs="Times New Roman"/>
                <w:snapToGrid/>
                <w:color w:val="auto"/>
                <w:lang w:eastAsia="zh-CN"/>
              </w:rPr>
              <w:t>128</w:t>
            </w:r>
          </w:p>
        </w:tc>
        <w:tc>
          <w:tcPr>
            <w:tcW w:w="340" w:type="pct"/>
            <w:tcBorders>
              <w:top w:val="nil"/>
              <w:left w:val="nil"/>
              <w:bottom w:val="single" w:color="auto" w:sz="4" w:space="0"/>
              <w:right w:val="single" w:color="auto" w:sz="4" w:space="0"/>
            </w:tcBorders>
            <w:shd w:val="clear" w:color="auto" w:fill="auto"/>
            <w:vAlign w:val="center"/>
          </w:tcPr>
          <w:p w14:paraId="4C0C46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Times New Roman" w:hAnsi="Times New Roman" w:eastAsia="方正仿宋_GBK" w:cs="Times New Roman"/>
                <w:snapToGrid/>
                <w:color w:val="auto"/>
                <w:lang w:eastAsia="zh-CN"/>
              </w:rPr>
            </w:pPr>
          </w:p>
        </w:tc>
        <w:tc>
          <w:tcPr>
            <w:tcW w:w="1815" w:type="pct"/>
            <w:tcBorders>
              <w:top w:val="nil"/>
              <w:left w:val="nil"/>
              <w:bottom w:val="single" w:color="auto" w:sz="4" w:space="0"/>
              <w:right w:val="single" w:color="auto" w:sz="4" w:space="0"/>
            </w:tcBorders>
            <w:shd w:val="clear" w:color="auto" w:fill="auto"/>
            <w:noWrap/>
            <w:vAlign w:val="center"/>
          </w:tcPr>
          <w:p w14:paraId="3D574D01">
            <w:pPr>
              <w:keepNext w:val="0"/>
              <w:keepLines w:val="0"/>
              <w:pageBreakBefore w:val="0"/>
              <w:widowControl w:val="0"/>
              <w:kinsoku/>
              <w:wordWrap/>
              <w:overflowPunct/>
              <w:topLinePunct w:val="0"/>
              <w:autoSpaceDE/>
              <w:autoSpaceDN/>
              <w:bidi w:val="0"/>
              <w:adjustRightInd/>
              <w:snapToGrid/>
              <w:spacing w:line="240" w:lineRule="exact"/>
              <w:textAlignment w:val="auto"/>
              <w:rPr>
                <w:rFonts w:ascii="Times New Roman" w:hAnsi="Times New Roman" w:eastAsia="方正仿宋_GBK" w:cs="Times New Roman"/>
                <w:snapToGrid/>
                <w:lang w:eastAsia="zh-CN"/>
              </w:rPr>
            </w:pPr>
            <w:r>
              <w:rPr>
                <w:rFonts w:ascii="Times New Roman" w:hAnsi="Times New Roman" w:eastAsia="方正仿宋_GBK" w:cs="Times New Roman"/>
                <w:snapToGrid/>
                <w:lang w:eastAsia="zh-CN"/>
              </w:rPr>
              <w:t>所有学院</w:t>
            </w:r>
          </w:p>
        </w:tc>
      </w:tr>
    </w:tbl>
    <w:p w14:paraId="53433FD0">
      <w:pPr>
        <w:keepNext w:val="0"/>
        <w:keepLines w:val="0"/>
        <w:pageBreakBefore w:val="0"/>
        <w:kinsoku/>
        <w:wordWrap/>
        <w:overflowPunct/>
        <w:topLinePunct w:val="0"/>
        <w:autoSpaceDE/>
        <w:autoSpaceDN/>
        <w:bidi w:val="0"/>
        <w:adjustRightInd/>
        <w:snapToGrid/>
        <w:spacing w:line="540" w:lineRule="exact"/>
        <w:ind w:firstLine="560" w:firstLineChars="200"/>
        <w:jc w:val="both"/>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eastAsia="zh-CN"/>
        </w:rPr>
        <w:t>备注：公共选修课程每个学生至少选修</w:t>
      </w:r>
      <w:r>
        <w:rPr>
          <w:rFonts w:hint="eastAsia" w:ascii="Times New Roman" w:hAnsi="Times New Roman" w:eastAsia="方正仿宋_GBK" w:cs="Times New Roman"/>
          <w:sz w:val="28"/>
          <w:szCs w:val="28"/>
          <w:lang w:val="en-US" w:eastAsia="zh-CN"/>
        </w:rPr>
        <w:t>1</w:t>
      </w:r>
      <w:r>
        <w:rPr>
          <w:rFonts w:hint="eastAsia" w:ascii="Times New Roman" w:hAnsi="Times New Roman" w:eastAsia="方正仿宋_GBK" w:cs="Times New Roman"/>
          <w:sz w:val="28"/>
          <w:szCs w:val="28"/>
          <w:lang w:eastAsia="zh-CN"/>
        </w:rPr>
        <w:t>门美育类和</w:t>
      </w:r>
      <w:r>
        <w:rPr>
          <w:rFonts w:hint="eastAsia" w:ascii="Times New Roman" w:hAnsi="Times New Roman" w:eastAsia="方正仿宋_GBK" w:cs="Times New Roman"/>
          <w:sz w:val="28"/>
          <w:szCs w:val="28"/>
          <w:lang w:val="en-US" w:eastAsia="zh-CN"/>
        </w:rPr>
        <w:t>1</w:t>
      </w:r>
      <w:r>
        <w:rPr>
          <w:rFonts w:hint="eastAsia" w:ascii="Times New Roman" w:hAnsi="Times New Roman" w:eastAsia="方正仿宋_GBK" w:cs="Times New Roman"/>
          <w:sz w:val="28"/>
          <w:szCs w:val="28"/>
          <w:lang w:eastAsia="zh-CN"/>
        </w:rPr>
        <w:t>门“四史”类课程。</w:t>
      </w:r>
    </w:p>
    <w:p w14:paraId="19D069E1">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left"/>
        <w:textAlignment w:val="auto"/>
        <w:rPr>
          <w:rFonts w:hint="default" w:ascii="Times New Roman" w:hAnsi="Times New Roman" w:eastAsia="方正仿宋_GBK" w:cs="Times New Roman"/>
          <w:b/>
          <w:bCs/>
          <w:color w:val="000000"/>
          <w:kern w:val="0"/>
          <w:sz w:val="32"/>
          <w:szCs w:val="32"/>
          <w:lang w:val="en-US" w:eastAsia="zh-CN" w:bidi="ar"/>
        </w:rPr>
      </w:pPr>
      <w:r>
        <w:rPr>
          <w:rFonts w:hint="default" w:ascii="Times New Roman" w:hAnsi="Times New Roman" w:eastAsia="方正仿宋_GBK" w:cs="Times New Roman"/>
          <w:b/>
          <w:bCs/>
          <w:color w:val="000000"/>
          <w:kern w:val="0"/>
          <w:sz w:val="32"/>
          <w:szCs w:val="32"/>
          <w:lang w:val="en-US" w:eastAsia="zh-CN" w:bidi="ar"/>
        </w:rPr>
        <w:t>专业（技能）课程</w:t>
      </w:r>
    </w:p>
    <w:p w14:paraId="219DA72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专业（技能）课程包括专业（群）基础课程、专业中/高阶课程、专业选修课程。</w:t>
      </w:r>
    </w:p>
    <w:p w14:paraId="325CEB8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专业（群）基础课程</w:t>
      </w:r>
      <w:r>
        <w:rPr>
          <w:rFonts w:hint="eastAsia" w:ascii="Times New Roman" w:hAnsi="Times New Roman" w:eastAsia="方正仿宋_GBK" w:cs="Times New Roman"/>
          <w:color w:val="000000"/>
          <w:kern w:val="0"/>
          <w:sz w:val="32"/>
          <w:szCs w:val="32"/>
          <w:lang w:val="en-US" w:eastAsia="zh-CN" w:bidi="ar"/>
        </w:rPr>
        <w:t>是为后续课程提供理论和技能支撑的基础课程</w:t>
      </w:r>
      <w:r>
        <w:rPr>
          <w:rFonts w:hint="default" w:ascii="Times New Roman" w:hAnsi="Times New Roman" w:eastAsia="方正仿宋_GBK" w:cs="Times New Roman"/>
          <w:color w:val="000000"/>
          <w:kern w:val="0"/>
          <w:sz w:val="32"/>
          <w:szCs w:val="32"/>
          <w:lang w:val="en-US" w:eastAsia="zh-CN" w:bidi="ar"/>
        </w:rPr>
        <w:t>；专业中/高阶课程</w:t>
      </w:r>
      <w:r>
        <w:rPr>
          <w:rFonts w:hint="eastAsia" w:ascii="Times New Roman" w:hAnsi="Times New Roman" w:eastAsia="方正仿宋_GBK" w:cs="Times New Roman"/>
          <w:color w:val="000000"/>
          <w:kern w:val="0"/>
          <w:sz w:val="32"/>
          <w:szCs w:val="32"/>
          <w:lang w:val="en-US" w:eastAsia="zh-CN" w:bidi="ar"/>
        </w:rPr>
        <w:t>是根据岗位能力、典型工作任务设置的课程，是培养核心职业能力的主干课程，要</w:t>
      </w:r>
      <w:r>
        <w:rPr>
          <w:rFonts w:hint="default" w:ascii="Times New Roman" w:hAnsi="Times New Roman" w:eastAsia="方正仿宋_GBK" w:cs="Times New Roman"/>
          <w:color w:val="000000"/>
          <w:kern w:val="0"/>
          <w:sz w:val="32"/>
          <w:szCs w:val="32"/>
          <w:lang w:val="en-US" w:eastAsia="zh-CN" w:bidi="ar"/>
        </w:rPr>
        <w:t>突出实践应用，须设置6-8门专业核心课程；专业选修课程</w:t>
      </w:r>
      <w:r>
        <w:rPr>
          <w:rFonts w:hint="eastAsia" w:ascii="Times New Roman" w:hAnsi="Times New Roman" w:eastAsia="方正仿宋_GBK" w:cs="Times New Roman"/>
          <w:color w:val="000000"/>
          <w:kern w:val="0"/>
          <w:sz w:val="32"/>
          <w:szCs w:val="32"/>
          <w:lang w:val="en-US" w:eastAsia="zh-CN" w:bidi="ar"/>
        </w:rPr>
        <w:t>是根据学生发展需求横向拓展和纵向深化的课程，是提升综合职业能力的延展课程</w:t>
      </w:r>
      <w:r>
        <w:rPr>
          <w:rFonts w:hint="default" w:ascii="Times New Roman" w:hAnsi="Times New Roman" w:eastAsia="方正仿宋_GBK" w:cs="Times New Roman"/>
          <w:color w:val="000000"/>
          <w:kern w:val="0"/>
          <w:sz w:val="32"/>
          <w:szCs w:val="32"/>
          <w:lang w:val="en-US" w:eastAsia="zh-CN" w:bidi="ar"/>
        </w:rPr>
        <w:t>；实践环节包括认识实习、集中实训、岗位实习、毕业设计等。</w:t>
      </w:r>
    </w:p>
    <w:p w14:paraId="2303CAB8">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left"/>
        <w:textAlignment w:val="auto"/>
        <w:rPr>
          <w:rFonts w:hint="default" w:ascii="Times New Roman" w:hAnsi="Times New Roman" w:eastAsia="方正仿宋_GBK" w:cs="Times New Roman"/>
          <w:b/>
          <w:bCs/>
          <w:color w:val="000000"/>
          <w:kern w:val="0"/>
          <w:sz w:val="32"/>
          <w:szCs w:val="32"/>
          <w:lang w:val="en-US" w:eastAsia="zh-CN" w:bidi="ar"/>
        </w:rPr>
      </w:pPr>
      <w:r>
        <w:rPr>
          <w:rFonts w:hint="default" w:ascii="Times New Roman" w:hAnsi="Times New Roman" w:eastAsia="方正仿宋_GBK" w:cs="Times New Roman"/>
          <w:b/>
          <w:bCs/>
          <w:color w:val="000000"/>
          <w:kern w:val="0"/>
          <w:sz w:val="32"/>
          <w:szCs w:val="32"/>
          <w:lang w:val="en-US" w:eastAsia="zh-CN" w:bidi="ar"/>
        </w:rPr>
        <w:t>第二课堂</w:t>
      </w:r>
    </w:p>
    <w:p w14:paraId="4F85A40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firstLine="640" w:firstLineChars="200"/>
        <w:jc w:val="left"/>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第二课堂为2学分、112学时（不计入总学时），具体按照校团委有关文件执行。</w:t>
      </w:r>
    </w:p>
    <w:p w14:paraId="4E8D47D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（三）强化实践环节</w:t>
      </w:r>
    </w:p>
    <w:p w14:paraId="59721E8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加强实践性教学，实践性教学（不含军事技能、第二课堂）学时原则上占总学时数50%以上。积极推行认知实习、岗位实习等多种实习方式，强化实习实训考核评价。建好用好新校区实训基地，强化劳动教育与实践育人，统筹推进文化育人、劳动育人、实践育人、活动育人。</w:t>
      </w:r>
    </w:p>
    <w:p w14:paraId="4901A1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（四）严格毕业要求</w:t>
      </w:r>
    </w:p>
    <w:p w14:paraId="5294E8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细化学生毕业要求，完成规定学时</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学分和教学环节，组织毕业考试（考核），坚决杜绝</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清考</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。鼓励学生参加外语、计算机等级考试与职业技能等级认定，相关证书不作为毕业的必要条件。</w:t>
      </w:r>
    </w:p>
    <w:p w14:paraId="4BA4F1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仿宋_GBK" w:cs="Times New Roman"/>
          <w:color w:val="000000"/>
          <w:kern w:val="0"/>
          <w:sz w:val="32"/>
          <w:szCs w:val="32"/>
          <w:lang w:val="en-US" w:eastAsia="zh-CN" w:bidi="ar"/>
        </w:rPr>
      </w:pPr>
    </w:p>
    <w:p w14:paraId="08AC2C2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（五）促进岗课赛证融通</w:t>
      </w:r>
    </w:p>
    <w:p w14:paraId="2C13C36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将职业资格证书、职业技能等级证书等内容融入专业课程教学，支持学生参加技能竞赛与职业技能等级认定，相关证书不作为毕业必备条件。</w:t>
      </w:r>
    </w:p>
    <w:p w14:paraId="05DA40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楷体_GBK" w:cs="Times New Roman"/>
          <w:b w:val="0"/>
          <w:bCs w:val="0"/>
          <w:color w:val="000000"/>
          <w:sz w:val="32"/>
          <w:szCs w:val="32"/>
        </w:rPr>
      </w:pPr>
      <w:r>
        <w:rPr>
          <w:rFonts w:hint="default" w:ascii="Times New Roman" w:hAnsi="Times New Roman" w:eastAsia="方正楷体_GBK" w:cs="Times New Roman"/>
          <w:b w:val="0"/>
          <w:bCs w:val="0"/>
          <w:color w:val="000000"/>
          <w:sz w:val="32"/>
          <w:szCs w:val="32"/>
        </w:rPr>
        <w:t>（六）深化人才分类培养</w:t>
      </w:r>
    </w:p>
    <w:p w14:paraId="435991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kern w:val="0"/>
          <w:sz w:val="32"/>
          <w:szCs w:val="32"/>
          <w:lang w:val="en-US" w:eastAsia="zh-CN" w:bidi="ar"/>
        </w:rPr>
        <w:t>针对</w:t>
      </w:r>
      <w:r>
        <w:rPr>
          <w:rFonts w:hint="eastAsia" w:ascii="Times New Roman" w:hAnsi="Times New Roman" w:eastAsia="方正仿宋_GBK" w:cs="Times New Roman"/>
          <w:color w:val="000000"/>
          <w:kern w:val="0"/>
          <w:sz w:val="32"/>
          <w:szCs w:val="32"/>
          <w:lang w:val="en-US" w:eastAsia="zh-CN" w:bidi="ar"/>
        </w:rPr>
        <w:t>不同</w:t>
      </w:r>
      <w:r>
        <w:rPr>
          <w:rFonts w:hint="default" w:ascii="Times New Roman" w:hAnsi="Times New Roman" w:eastAsia="方正仿宋_GBK" w:cs="Times New Roman"/>
          <w:color w:val="000000"/>
          <w:kern w:val="0"/>
          <w:sz w:val="32"/>
          <w:szCs w:val="32"/>
          <w:lang w:val="en-US" w:eastAsia="zh-CN" w:bidi="ar"/>
        </w:rPr>
        <w:t>生源特点，构建差异化人才培养体系，单独制定人才培养方案，实施</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一类一案</w:t>
      </w:r>
      <w:r>
        <w:rPr>
          <w:rFonts w:hint="eastAsia" w:ascii="Times New Roman" w:hAnsi="Times New Roman" w:eastAsia="方正仿宋_GBK" w:cs="Times New Roman"/>
          <w:color w:val="000000"/>
          <w:kern w:val="0"/>
          <w:sz w:val="32"/>
          <w:szCs w:val="32"/>
          <w:lang w:val="en-US" w:eastAsia="zh-CN" w:bidi="ar"/>
        </w:rPr>
        <w:t>”</w:t>
      </w:r>
      <w:r>
        <w:rPr>
          <w:rFonts w:hint="default" w:ascii="Times New Roman" w:hAnsi="Times New Roman" w:eastAsia="方正仿宋_GBK" w:cs="Times New Roman"/>
          <w:color w:val="000000"/>
          <w:kern w:val="0"/>
          <w:sz w:val="32"/>
          <w:szCs w:val="32"/>
          <w:lang w:val="en-US" w:eastAsia="zh-CN" w:bidi="ar"/>
        </w:rPr>
        <w:t>培养模式，实现因材施教、精准育人。</w:t>
      </w:r>
    </w:p>
    <w:p w14:paraId="3198DA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left"/>
        <w:textAlignment w:val="auto"/>
        <w:rPr>
          <w:rFonts w:hint="default" w:ascii="Times New Roman" w:hAnsi="Times New Roman" w:eastAsia="方正黑体_GBK" w:cs="Times New Roman"/>
          <w:b w:val="0"/>
          <w:bCs w:val="0"/>
          <w:color w:val="000000"/>
          <w:sz w:val="32"/>
          <w:szCs w:val="32"/>
          <w:lang w:eastAsia="zh-CN"/>
        </w:rPr>
      </w:pPr>
      <w:r>
        <w:rPr>
          <w:rFonts w:hint="default" w:ascii="Times New Roman" w:hAnsi="Times New Roman" w:eastAsia="方正黑体_GBK" w:cs="Times New Roman"/>
          <w:b w:val="0"/>
          <w:bCs w:val="0"/>
          <w:color w:val="000000"/>
          <w:sz w:val="32"/>
          <w:szCs w:val="32"/>
          <w:lang w:eastAsia="zh-CN"/>
        </w:rPr>
        <w:t>四、</w:t>
      </w:r>
      <w:r>
        <w:rPr>
          <w:rFonts w:hint="eastAsia" w:ascii="Times New Roman" w:hAnsi="Times New Roman" w:eastAsia="方正黑体_GBK" w:cs="Times New Roman"/>
          <w:b w:val="0"/>
          <w:bCs w:val="0"/>
          <w:color w:val="000000"/>
          <w:sz w:val="32"/>
          <w:szCs w:val="32"/>
          <w:lang w:eastAsia="zh-CN"/>
        </w:rPr>
        <w:t>发布与更新</w:t>
      </w:r>
      <w:r>
        <w:rPr>
          <w:rFonts w:hint="default" w:ascii="Times New Roman" w:hAnsi="Times New Roman" w:eastAsia="方正黑体_GBK" w:cs="Times New Roman"/>
          <w:b w:val="0"/>
          <w:bCs w:val="0"/>
          <w:color w:val="000000"/>
          <w:sz w:val="32"/>
          <w:szCs w:val="32"/>
          <w:lang w:eastAsia="zh-CN"/>
        </w:rPr>
        <w:t xml:space="preserve"> </w:t>
      </w:r>
    </w:p>
    <w:p w14:paraId="433C8010">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ascii="Times New Roman" w:hAnsi="Times New Roman" w:eastAsia="方正仿宋_GBK" w:cs="Times New Roman"/>
          <w:sz w:val="32"/>
          <w:szCs w:val="32"/>
          <w:lang w:eastAsia="zh-CN" w:bidi="ar"/>
        </w:rPr>
      </w:pPr>
      <w:r>
        <w:rPr>
          <w:rFonts w:hint="eastAsia" w:ascii="Times New Roman" w:hAnsi="Times New Roman" w:eastAsia="方正仿宋_GBK" w:cs="Times New Roman"/>
          <w:sz w:val="32"/>
          <w:szCs w:val="32"/>
          <w:lang w:eastAsia="zh-CN" w:bidi="ar"/>
        </w:rPr>
        <w:t>1．发布。</w:t>
      </w:r>
      <w:r>
        <w:rPr>
          <w:rFonts w:ascii="Times New Roman" w:hAnsi="Times New Roman" w:eastAsia="方正仿宋_GBK" w:cs="Times New Roman"/>
          <w:sz w:val="32"/>
          <w:szCs w:val="32"/>
          <w:lang w:eastAsia="zh-CN" w:bidi="ar"/>
        </w:rPr>
        <w:t>经审定通过的专业人才培养方案，学校按程序发布执行，同时报上级教育行政部门备案，并通过学校网站等向社会公开，接受全社会监督。</w:t>
      </w:r>
    </w:p>
    <w:p w14:paraId="75158D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ascii="Times New Roman" w:hAnsi="Times New Roman" w:eastAsia="方正仿宋_GBK" w:cs="Times New Roman"/>
          <w:sz w:val="32"/>
          <w:szCs w:val="32"/>
          <w:lang w:eastAsia="zh-CN" w:bidi="ar"/>
        </w:rPr>
      </w:pPr>
      <w:r>
        <w:rPr>
          <w:rFonts w:hint="eastAsia" w:ascii="Times New Roman" w:hAnsi="Times New Roman" w:eastAsia="方正仿宋_GBK" w:cs="Times New Roman"/>
          <w:sz w:val="32"/>
          <w:szCs w:val="32"/>
          <w:lang w:eastAsia="zh-CN" w:bidi="ar"/>
        </w:rPr>
        <w:t>2．更新。为保持人才培养的连续性与</w:t>
      </w:r>
      <w:r>
        <w:rPr>
          <w:rFonts w:hint="eastAsia" w:ascii="Times New Roman" w:hAnsi="Times New Roman" w:eastAsia="方正仿宋_GBK" w:cs="Times New Roman"/>
          <w:sz w:val="32"/>
          <w:szCs w:val="32"/>
          <w:lang w:val="en-US" w:eastAsia="zh-CN" w:bidi="ar"/>
        </w:rPr>
        <w:t>适应</w:t>
      </w:r>
      <w:r>
        <w:rPr>
          <w:rFonts w:hint="eastAsia" w:ascii="Times New Roman" w:hAnsi="Times New Roman" w:eastAsia="方正仿宋_GBK" w:cs="Times New Roman"/>
          <w:sz w:val="32"/>
          <w:szCs w:val="32"/>
          <w:lang w:eastAsia="zh-CN" w:bidi="ar"/>
        </w:rPr>
        <w:t>性，人才培养方案原则上三年修订一次，</w:t>
      </w:r>
      <w:r>
        <w:rPr>
          <w:rFonts w:ascii="Times New Roman" w:hAnsi="Times New Roman" w:eastAsia="方正仿宋_GBK" w:cs="Times New Roman"/>
          <w:sz w:val="32"/>
          <w:szCs w:val="32"/>
          <w:lang w:eastAsia="zh-CN" w:bidi="ar"/>
        </w:rPr>
        <w:t>各二级学院应建立健全专业人才培养方案实施情况的评价、反馈与改进机制，根据经济社会发展需求、技术发展趋势和教育教学改革实际，及时优化调整。</w:t>
      </w:r>
      <w:bookmarkStart w:id="0" w:name="_GoBack"/>
      <w:bookmarkEnd w:id="0"/>
    </w:p>
    <w:p w14:paraId="45B7567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ascii="Times New Roman" w:hAnsi="Times New Roman" w:eastAsia="方正仿宋_GBK" w:cs="Times New Roman"/>
          <w:sz w:val="32"/>
          <w:szCs w:val="32"/>
          <w:lang w:eastAsia="zh-CN" w:bidi="ar"/>
        </w:rPr>
      </w:pPr>
    </w:p>
    <w:p w14:paraId="5E362A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jc w:val="both"/>
        <w:textAlignment w:val="auto"/>
        <w:rPr>
          <w:rFonts w:ascii="Times New Roman" w:hAnsi="Times New Roman" w:eastAsia="方正仿宋_GBK" w:cs="Times New Roman"/>
          <w:sz w:val="32"/>
          <w:szCs w:val="32"/>
          <w:lang w:eastAsia="zh-CN" w:bidi="ar"/>
        </w:rPr>
      </w:pPr>
    </w:p>
    <w:p w14:paraId="77FCDE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right="0"/>
        <w:jc w:val="both"/>
        <w:textAlignment w:val="auto"/>
        <w:rPr>
          <w:rFonts w:ascii="Times New Roman" w:hAnsi="Times New Roman" w:eastAsia="方正仿宋_GBK" w:cs="Times New Roman"/>
          <w:sz w:val="32"/>
          <w:szCs w:val="32"/>
          <w:lang w:eastAsia="zh-CN" w:bidi="ar"/>
        </w:rPr>
      </w:pPr>
    </w:p>
    <w:p w14:paraId="3AD3BB6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center"/>
        <w:textAlignment w:val="auto"/>
        <w:rPr>
          <w:rFonts w:hint="eastAsia" w:ascii="Times New Roman" w:hAnsi="Times New Roman" w:eastAsia="方正仿宋_GBK" w:cs="Times New Roman"/>
          <w:sz w:val="32"/>
          <w:szCs w:val="32"/>
          <w:lang w:val="en-US" w:eastAsia="zh-CN" w:bidi="ar"/>
        </w:rPr>
      </w:pPr>
      <w:r>
        <w:rPr>
          <w:rFonts w:hint="eastAsia" w:ascii="Times New Roman" w:hAnsi="Times New Roman" w:eastAsia="方正仿宋_GBK" w:cs="Times New Roman"/>
          <w:sz w:val="32"/>
          <w:szCs w:val="32"/>
          <w:lang w:val="en-US" w:eastAsia="zh-CN" w:bidi="ar"/>
        </w:rPr>
        <w:t xml:space="preserve">                                教务处</w:t>
      </w:r>
    </w:p>
    <w:p w14:paraId="18D821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right"/>
        <w:textAlignment w:val="auto"/>
        <w:rPr>
          <w:rFonts w:hint="default" w:ascii="Times New Roman" w:hAnsi="Times New Roman" w:eastAsia="方正仿宋_GBK" w:cs="Times New Roman"/>
          <w:sz w:val="32"/>
          <w:szCs w:val="32"/>
          <w:lang w:val="en-US" w:eastAsia="zh-CN" w:bidi="ar"/>
        </w:rPr>
      </w:pPr>
      <w:r>
        <w:rPr>
          <w:rFonts w:hint="eastAsia" w:ascii="Times New Roman" w:hAnsi="Times New Roman" w:eastAsia="方正仿宋_GBK" w:cs="Times New Roman"/>
          <w:sz w:val="32"/>
          <w:szCs w:val="32"/>
          <w:lang w:val="en-US" w:eastAsia="zh-CN" w:bidi="ar"/>
        </w:rPr>
        <w:t>2026年5月14日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38C75">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8DA4F3">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8DA4F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204B4"/>
    <w:multiLevelType w:val="singleLevel"/>
    <w:tmpl w:val="14F204B4"/>
    <w:lvl w:ilvl="0" w:tentative="0">
      <w:start w:val="1"/>
      <w:numFmt w:val="decimal"/>
      <w:suff w:val="nothing"/>
      <w:lvlText w:val="（%1）"/>
      <w:lvlJc w:val="left"/>
    </w:lvl>
  </w:abstractNum>
  <w:abstractNum w:abstractNumId="1">
    <w:nsid w:val="2A065AA0"/>
    <w:multiLevelType w:val="singleLevel"/>
    <w:tmpl w:val="2A065AA0"/>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6530C"/>
    <w:rsid w:val="04A9357F"/>
    <w:rsid w:val="05211911"/>
    <w:rsid w:val="06DA0F4A"/>
    <w:rsid w:val="07606518"/>
    <w:rsid w:val="07F023A1"/>
    <w:rsid w:val="08B44D5C"/>
    <w:rsid w:val="09AF5ECF"/>
    <w:rsid w:val="105C077B"/>
    <w:rsid w:val="1487140D"/>
    <w:rsid w:val="18EB1922"/>
    <w:rsid w:val="19A6370A"/>
    <w:rsid w:val="1A136006"/>
    <w:rsid w:val="1ADA2FC8"/>
    <w:rsid w:val="1ADF05DE"/>
    <w:rsid w:val="1F01504A"/>
    <w:rsid w:val="1F1D3483"/>
    <w:rsid w:val="22D87DED"/>
    <w:rsid w:val="25133E9A"/>
    <w:rsid w:val="2907026C"/>
    <w:rsid w:val="2B3202B6"/>
    <w:rsid w:val="2E6E7857"/>
    <w:rsid w:val="314920DA"/>
    <w:rsid w:val="316B3163"/>
    <w:rsid w:val="3619454C"/>
    <w:rsid w:val="37CC72E3"/>
    <w:rsid w:val="39257EAA"/>
    <w:rsid w:val="3AC95E82"/>
    <w:rsid w:val="3B506C62"/>
    <w:rsid w:val="3C3E27F3"/>
    <w:rsid w:val="3F2A1057"/>
    <w:rsid w:val="42294313"/>
    <w:rsid w:val="488B752C"/>
    <w:rsid w:val="48A14843"/>
    <w:rsid w:val="494D658F"/>
    <w:rsid w:val="49892535"/>
    <w:rsid w:val="4C9E01BA"/>
    <w:rsid w:val="4E2F2707"/>
    <w:rsid w:val="4F9B66DF"/>
    <w:rsid w:val="527252B8"/>
    <w:rsid w:val="54ED6E78"/>
    <w:rsid w:val="55AF0084"/>
    <w:rsid w:val="577E025B"/>
    <w:rsid w:val="5868752D"/>
    <w:rsid w:val="5D17141C"/>
    <w:rsid w:val="60226EE4"/>
    <w:rsid w:val="62450B37"/>
    <w:rsid w:val="64454A69"/>
    <w:rsid w:val="65155B0A"/>
    <w:rsid w:val="65644652"/>
    <w:rsid w:val="66781CC2"/>
    <w:rsid w:val="66C54B10"/>
    <w:rsid w:val="66EB74B0"/>
    <w:rsid w:val="68CD70E7"/>
    <w:rsid w:val="6BCC7390"/>
    <w:rsid w:val="6D064B23"/>
    <w:rsid w:val="6D2920DD"/>
    <w:rsid w:val="6DBF6A55"/>
    <w:rsid w:val="6EE24FAE"/>
    <w:rsid w:val="702B754F"/>
    <w:rsid w:val="7204763C"/>
    <w:rsid w:val="74C0380A"/>
    <w:rsid w:val="757108D4"/>
    <w:rsid w:val="76C66C30"/>
    <w:rsid w:val="77EF93AA"/>
    <w:rsid w:val="7866530C"/>
    <w:rsid w:val="79D044EF"/>
    <w:rsid w:val="7A607A9B"/>
    <w:rsid w:val="7D382AD7"/>
    <w:rsid w:val="7D5365E5"/>
    <w:rsid w:val="7DDF73F6"/>
    <w:rsid w:val="7E8712CF"/>
    <w:rsid w:val="A5F65E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0">
    <w:name w:val="Table Grid"/>
    <w:basedOn w:val="9"/>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3803</Words>
  <Characters>3960</Characters>
  <Lines>0</Lines>
  <Paragraphs>0</Paragraphs>
  <TotalTime>22</TotalTime>
  <ScaleCrop>false</ScaleCrop>
  <LinksUpToDate>false</LinksUpToDate>
  <CharactersWithSpaces>4009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2026-04-20T10:56:00Z</dcterms:created>
  <dc:creator>卢</dc:creator>
  <cp:lastModifiedBy>卢</cp:lastModifiedBy>
  <dcterms:modified xsi:type="dcterms:W3CDTF">2026-05-15T03:15:11Z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C5B4798E049F409486FDD624FC304367_13</vt:lpwstr>
  </property>
  <property fmtid="{D5CDD505-2E9C-101B-9397-08002B2CF9AE}" pid="4" name="KSOTemplateDocerSaveRecord">
    <vt:lpwstr>eyJoZGlkIjoiYzg0YzE5YjQ0MzMwMGE0NTkzYTlhMjk3NTUyOWI5NDgiLCJ1c2VySWQiOiIyNjgyMDc1MTkifQ==</vt:lpwstr>
  </property>
</Properties>
</file>