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微软雅黑" w:hAnsi="微软雅黑" w:eastAsia="微软雅黑"/>
          <w:sz w:val="72"/>
          <w:szCs w:val="72"/>
        </w:rPr>
      </w:pPr>
      <w:r>
        <w:rPr>
          <w:rFonts w:hint="eastAsia" w:ascii="微软雅黑" w:hAnsi="微软雅黑" w:eastAsia="微软雅黑"/>
          <w:sz w:val="72"/>
          <w:szCs w:val="72"/>
        </w:rPr>
        <w:t>江苏开放大学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微软雅黑" w:hAnsi="微软雅黑" w:eastAsia="微软雅黑"/>
          <w:sz w:val="72"/>
          <w:szCs w:val="72"/>
          <w:lang w:val="en-US"/>
        </w:rPr>
      </w:pPr>
      <w:r>
        <w:rPr>
          <w:rFonts w:hint="eastAsia"/>
          <w:sz w:val="72"/>
          <w:szCs w:val="72"/>
          <w:lang w:val="en-US" w:eastAsia="zh-CN"/>
        </w:rPr>
        <w:t>毕业设计平台</w:t>
      </w:r>
      <w:bookmarkStart w:id="13" w:name="_GoBack"/>
      <w:bookmarkEnd w:id="13"/>
      <w:r>
        <w:rPr>
          <w:rFonts w:hint="eastAsia"/>
          <w:sz w:val="72"/>
          <w:szCs w:val="72"/>
          <w:lang w:val="en-US" w:eastAsia="zh-CN"/>
        </w:rPr>
        <w:t>教师端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微软雅黑" w:hAnsi="微软雅黑" w:eastAsia="微软雅黑"/>
          <w:sz w:val="72"/>
          <w:szCs w:val="72"/>
        </w:rPr>
      </w:pPr>
      <w:r>
        <w:rPr>
          <w:rFonts w:hint="eastAsia" w:ascii="微软雅黑" w:hAnsi="微软雅黑" w:eastAsia="微软雅黑"/>
          <w:sz w:val="72"/>
          <w:szCs w:val="72"/>
        </w:rPr>
        <w:t>操作手册</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V</w:t>
      </w:r>
      <w:r>
        <w:rPr>
          <w:rFonts w:hint="eastAsia" w:cs="微软雅黑"/>
          <w:sz w:val="28"/>
          <w:szCs w:val="28"/>
          <w:lang w:val="en-US" w:eastAsia="zh-CN"/>
        </w:rPr>
        <w:t>2</w:t>
      </w:r>
      <w:r>
        <w:rPr>
          <w:rFonts w:hint="eastAsia" w:ascii="微软雅黑" w:hAnsi="微软雅黑" w:eastAsia="微软雅黑" w:cs="微软雅黑"/>
          <w:sz w:val="28"/>
          <w:szCs w:val="28"/>
          <w:lang w:val="en-US" w:eastAsia="zh-CN"/>
        </w:rPr>
        <w:t>.0</w:t>
      </w:r>
    </w:p>
    <w:p>
      <w:pPr>
        <w:jc w:val="center"/>
        <w:rPr>
          <w:rFonts w:hint="eastAsia" w:ascii="微软雅黑" w:hAnsi="微软雅黑" w:eastAsia="微软雅黑" w:cs="微软雅黑"/>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rFonts w:hint="default" w:ascii="微软雅黑" w:hAnsi="微软雅黑" w:eastAsia="微软雅黑" w:cs="微软雅黑"/>
                <w:vertAlign w:val="baseline"/>
                <w:lang w:val="en-US" w:eastAsia="zh-CN"/>
              </w:rPr>
            </w:pPr>
            <w:r>
              <w:rPr>
                <w:rFonts w:hint="eastAsia" w:ascii="微软雅黑" w:hAnsi="微软雅黑" w:cs="微软雅黑"/>
                <w:vertAlign w:val="baseline"/>
                <w:lang w:val="en-US" w:eastAsia="zh-CN"/>
              </w:rPr>
              <w:t>版本号</w:t>
            </w:r>
          </w:p>
        </w:tc>
        <w:tc>
          <w:tcPr>
            <w:tcW w:w="2841" w:type="dxa"/>
          </w:tcPr>
          <w:p>
            <w:pPr>
              <w:jc w:val="center"/>
              <w:rPr>
                <w:rFonts w:hint="default" w:ascii="微软雅黑" w:hAnsi="微软雅黑" w:eastAsia="微软雅黑" w:cs="微软雅黑"/>
                <w:vertAlign w:val="baseline"/>
                <w:lang w:val="en-US" w:eastAsia="zh-CN"/>
              </w:rPr>
            </w:pPr>
            <w:r>
              <w:rPr>
                <w:rFonts w:hint="eastAsia" w:ascii="微软雅黑" w:hAnsi="微软雅黑" w:cs="微软雅黑"/>
                <w:vertAlign w:val="baseline"/>
                <w:lang w:val="en-US" w:eastAsia="zh-CN"/>
              </w:rPr>
              <w:t>创建人</w:t>
            </w:r>
          </w:p>
        </w:tc>
        <w:tc>
          <w:tcPr>
            <w:tcW w:w="2841" w:type="dxa"/>
          </w:tcPr>
          <w:p>
            <w:pPr>
              <w:jc w:val="center"/>
              <w:rPr>
                <w:rFonts w:hint="default" w:ascii="微软雅黑" w:hAnsi="微软雅黑" w:eastAsia="微软雅黑" w:cs="微软雅黑"/>
                <w:vertAlign w:val="baseline"/>
                <w:lang w:val="en-US" w:eastAsia="zh-CN"/>
              </w:rPr>
            </w:pPr>
            <w:r>
              <w:rPr>
                <w:rFonts w:hint="eastAsia" w:ascii="微软雅黑" w:hAnsi="微软雅黑" w:cs="微软雅黑"/>
                <w:vertAlign w:val="baseline"/>
                <w:lang w:val="en-US" w:eastAsia="zh-CN"/>
              </w:rPr>
              <w:t>创建时间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rFonts w:hint="default" w:ascii="微软雅黑" w:hAnsi="微软雅黑" w:eastAsia="微软雅黑" w:cs="微软雅黑"/>
                <w:vertAlign w:val="baseline"/>
                <w:lang w:val="en-US" w:eastAsia="zh-CN"/>
              </w:rPr>
            </w:pPr>
            <w:r>
              <w:rPr>
                <w:rFonts w:hint="eastAsia" w:ascii="微软雅黑" w:hAnsi="微软雅黑" w:cs="微软雅黑"/>
                <w:vertAlign w:val="baseline"/>
                <w:lang w:val="en-US" w:eastAsia="zh-CN"/>
              </w:rPr>
              <w:t>V1.0</w:t>
            </w:r>
          </w:p>
        </w:tc>
        <w:tc>
          <w:tcPr>
            <w:tcW w:w="2841" w:type="dxa"/>
          </w:tcPr>
          <w:p>
            <w:pPr>
              <w:jc w:val="center"/>
              <w:rPr>
                <w:rFonts w:hint="default" w:ascii="微软雅黑" w:hAnsi="微软雅黑" w:eastAsia="微软雅黑" w:cs="微软雅黑"/>
                <w:vertAlign w:val="baseline"/>
                <w:lang w:val="en-US" w:eastAsia="zh-CN"/>
              </w:rPr>
            </w:pPr>
            <w:r>
              <w:rPr>
                <w:rFonts w:hint="eastAsia" w:cs="微软雅黑"/>
                <w:vertAlign w:val="baseline"/>
                <w:lang w:val="en-US" w:eastAsia="zh-CN"/>
              </w:rPr>
              <w:t>刘元</w:t>
            </w:r>
          </w:p>
        </w:tc>
        <w:tc>
          <w:tcPr>
            <w:tcW w:w="2841" w:type="dxa"/>
          </w:tcPr>
          <w:p>
            <w:pPr>
              <w:jc w:val="center"/>
              <w:rPr>
                <w:rFonts w:hint="default" w:ascii="微软雅黑" w:hAnsi="微软雅黑" w:eastAsia="微软雅黑" w:cs="微软雅黑"/>
                <w:vertAlign w:val="baseline"/>
                <w:lang w:val="en-US" w:eastAsia="zh-CN"/>
              </w:rPr>
            </w:pPr>
            <w:r>
              <w:rPr>
                <w:rFonts w:hint="eastAsia" w:ascii="微软雅黑" w:hAnsi="微软雅黑" w:cs="微软雅黑"/>
                <w:vertAlign w:val="baseline"/>
                <w:lang w:val="en-US" w:eastAsia="zh-CN"/>
              </w:rPr>
              <w:t>202</w:t>
            </w:r>
            <w:r>
              <w:rPr>
                <w:rFonts w:hint="eastAsia" w:cs="微软雅黑"/>
                <w:vertAlign w:val="baseline"/>
                <w:lang w:val="en-US" w:eastAsia="zh-CN"/>
              </w:rPr>
              <w:t>1</w:t>
            </w:r>
            <w:r>
              <w:rPr>
                <w:rFonts w:hint="eastAsia" w:ascii="微软雅黑" w:hAnsi="微软雅黑" w:cs="微软雅黑"/>
                <w:vertAlign w:val="baseline"/>
                <w:lang w:val="en-US" w:eastAsia="zh-CN"/>
              </w:rPr>
              <w:t>.</w:t>
            </w:r>
            <w:r>
              <w:rPr>
                <w:rFonts w:hint="eastAsia" w:cs="微软雅黑"/>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rFonts w:hint="default" w:ascii="微软雅黑" w:hAnsi="微软雅黑" w:cs="微软雅黑"/>
                <w:vertAlign w:val="baseline"/>
                <w:lang w:val="en-US" w:eastAsia="zh-CN"/>
              </w:rPr>
            </w:pPr>
            <w:r>
              <w:rPr>
                <w:rFonts w:hint="eastAsia" w:cs="微软雅黑"/>
                <w:vertAlign w:val="baseline"/>
                <w:lang w:val="en-US" w:eastAsia="zh-CN"/>
              </w:rPr>
              <w:t>V2.0</w:t>
            </w:r>
          </w:p>
        </w:tc>
        <w:tc>
          <w:tcPr>
            <w:tcW w:w="2841" w:type="dxa"/>
          </w:tcPr>
          <w:p>
            <w:pPr>
              <w:jc w:val="center"/>
              <w:rPr>
                <w:rFonts w:hint="default" w:cs="微软雅黑"/>
                <w:vertAlign w:val="baseline"/>
                <w:lang w:val="en-US" w:eastAsia="zh-CN"/>
              </w:rPr>
            </w:pPr>
            <w:r>
              <w:rPr>
                <w:rFonts w:hint="eastAsia" w:cs="微软雅黑"/>
                <w:vertAlign w:val="baseline"/>
                <w:lang w:val="en-US" w:eastAsia="zh-CN"/>
              </w:rPr>
              <w:t>刘元</w:t>
            </w:r>
          </w:p>
        </w:tc>
        <w:tc>
          <w:tcPr>
            <w:tcW w:w="2841" w:type="dxa"/>
          </w:tcPr>
          <w:p>
            <w:pPr>
              <w:jc w:val="center"/>
              <w:rPr>
                <w:rFonts w:hint="default" w:ascii="微软雅黑" w:hAnsi="微软雅黑" w:cs="微软雅黑"/>
                <w:vertAlign w:val="baseline"/>
                <w:lang w:val="en-US" w:eastAsia="zh-CN"/>
              </w:rPr>
            </w:pPr>
            <w:r>
              <w:rPr>
                <w:rFonts w:hint="eastAsia" w:cs="微软雅黑"/>
                <w:vertAlign w:val="baseline"/>
                <w:lang w:val="en-US" w:eastAsia="zh-CN"/>
              </w:rPr>
              <w:t>2022.11</w:t>
            </w:r>
          </w:p>
        </w:tc>
      </w:tr>
    </w:tbl>
    <w:p>
      <w:pPr>
        <w:jc w:val="center"/>
        <w:rPr>
          <w:rFonts w:hint="eastAsia" w:ascii="微软雅黑" w:hAnsi="微软雅黑" w:eastAsia="微软雅黑" w:cs="微软雅黑"/>
          <w:lang w:val="en-US" w:eastAsia="zh-CN"/>
        </w:rPr>
      </w:pPr>
    </w:p>
    <w:p>
      <w:pPr>
        <w:jc w:val="center"/>
        <w:rPr>
          <w:rFonts w:hint="eastAsia" w:ascii="微软雅黑" w:hAnsi="微软雅黑" w:eastAsia="微软雅黑" w:cs="微软雅黑"/>
          <w:lang w:val="en-US" w:eastAsia="zh-CN"/>
        </w:rPr>
      </w:pPr>
    </w:p>
    <w:p>
      <w:pPr>
        <w:jc w:val="center"/>
        <w:rPr>
          <w:rFonts w:hint="eastAsia" w:ascii="微软雅黑" w:hAnsi="微软雅黑" w:eastAsia="微软雅黑" w:cs="微软雅黑"/>
          <w:lang w:val="en-US" w:eastAsia="zh-CN"/>
        </w:rPr>
      </w:pPr>
    </w:p>
    <w:p>
      <w:pPr>
        <w:jc w:val="center"/>
        <w:rPr>
          <w:rFonts w:hint="eastAsia" w:ascii="微软雅黑" w:hAnsi="微软雅黑" w:eastAsia="微软雅黑" w:cs="微软雅黑"/>
          <w:lang w:val="en-US" w:eastAsia="zh-CN"/>
        </w:rPr>
      </w:pPr>
    </w:p>
    <w:p>
      <w:pPr>
        <w:jc w:val="center"/>
        <w:rPr>
          <w:rFonts w:hint="eastAsia" w:ascii="微软雅黑" w:hAnsi="微软雅黑" w:eastAsia="微软雅黑" w:cs="微软雅黑"/>
          <w:lang w:val="en-US" w:eastAsia="zh-CN"/>
        </w:rPr>
      </w:pPr>
    </w:p>
    <w:p>
      <w:pPr>
        <w:jc w:val="center"/>
        <w:rPr>
          <w:rFonts w:hint="eastAsia" w:ascii="微软雅黑" w:hAnsi="微软雅黑" w:eastAsia="微软雅黑" w:cs="微软雅黑"/>
          <w:lang w:val="en-US" w:eastAsia="zh-CN"/>
        </w:rPr>
      </w:pPr>
    </w:p>
    <w:p>
      <w:pPr>
        <w:jc w:val="center"/>
        <w:rPr>
          <w:rFonts w:hint="eastAsia" w:ascii="微软雅黑" w:hAnsi="微软雅黑" w:eastAsia="微软雅黑" w:cs="微软雅黑"/>
          <w:lang w:val="en-US" w:eastAsia="zh-CN"/>
        </w:rPr>
      </w:pPr>
    </w:p>
    <w:p>
      <w:pPr>
        <w:jc w:val="center"/>
        <w:rPr>
          <w:rFonts w:hint="eastAsia" w:ascii="微软雅黑" w:hAnsi="微软雅黑" w:eastAsia="微软雅黑" w:cs="微软雅黑"/>
          <w:lang w:val="en-US" w:eastAsia="zh-CN"/>
        </w:rPr>
      </w:pPr>
    </w:p>
    <w:p>
      <w:pPr>
        <w:ind w:left="0" w:leftChars="0" w:firstLine="0" w:firstLineChars="0"/>
        <w:jc w:val="both"/>
        <w:rPr>
          <w:rFonts w:hint="eastAsia" w:ascii="微软雅黑" w:hAnsi="微软雅黑" w:eastAsia="微软雅黑" w:cs="微软雅黑"/>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微软雅黑" w:hAnsi="微软雅黑" w:eastAsia="微软雅黑"/>
          <w:b/>
          <w:sz w:val="28"/>
          <w:szCs w:val="28"/>
        </w:rPr>
      </w:pPr>
      <w:sdt>
        <w:sdtPr>
          <w:rPr>
            <w:rFonts w:ascii="微软雅黑" w:hAnsi="微软雅黑" w:eastAsia="微软雅黑"/>
            <w:b/>
            <w:sz w:val="28"/>
            <w:szCs w:val="28"/>
          </w:rPr>
          <w:alias w:val="单位"/>
          <w:id w:val="-306787878"/>
          <w:placeholder>
            <w:docPart w:val="{de618afc-93bd-40bc-b1af-e26058cbce99}"/>
          </w:placeholder>
          <w:dataBinding w:prefixMappings="xmlns:ns0='http://schemas.openxmlformats.org/officeDocument/2006/extended-properties' " w:xpath="/ns0:Properties[1]/ns0:Company[1]" w:storeItemID="{6668398D-A668-4E3E-A5EB-62B293D839F1}"/>
          <w:text/>
        </w:sdtPr>
        <w:sdtEndPr>
          <w:rPr>
            <w:rFonts w:ascii="微软雅黑" w:hAnsi="微软雅黑" w:eastAsia="微软雅黑"/>
            <w:b/>
            <w:sz w:val="28"/>
            <w:szCs w:val="28"/>
          </w:rPr>
        </w:sdtEndPr>
        <w:sdtContent>
          <w:r>
            <w:rPr>
              <w:rFonts w:hint="eastAsia"/>
              <w:b/>
              <w:sz w:val="28"/>
              <w:szCs w:val="28"/>
              <w:lang w:val="en-US" w:eastAsia="zh-CN"/>
            </w:rPr>
            <w:t>南京典骋科技有限公司</w:t>
          </w:r>
        </w:sdtContent>
      </w:sdt>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微软雅黑" w:hAnsi="微软雅黑" w:eastAsia="微软雅黑"/>
          <w:b/>
          <w:sz w:val="28"/>
          <w:szCs w:val="28"/>
        </w:rPr>
      </w:pPr>
      <w:r>
        <w:rPr>
          <w:rFonts w:hint="eastAsia" w:ascii="微软雅黑" w:hAnsi="微软雅黑" w:eastAsia="微软雅黑"/>
          <w:b/>
          <w:sz w:val="28"/>
          <w:szCs w:val="28"/>
        </w:rPr>
        <w:t>2</w:t>
      </w:r>
      <w:r>
        <w:rPr>
          <w:rFonts w:ascii="微软雅黑" w:hAnsi="微软雅黑" w:eastAsia="微软雅黑"/>
          <w:b/>
          <w:sz w:val="28"/>
          <w:szCs w:val="28"/>
        </w:rPr>
        <w:t>0</w:t>
      </w:r>
      <w:r>
        <w:rPr>
          <w:rFonts w:hint="eastAsia" w:ascii="微软雅黑" w:hAnsi="微软雅黑" w:eastAsia="微软雅黑"/>
          <w:b/>
          <w:sz w:val="28"/>
          <w:szCs w:val="28"/>
          <w:lang w:val="en-US" w:eastAsia="zh-CN"/>
        </w:rPr>
        <w:t>2</w:t>
      </w:r>
      <w:r>
        <w:rPr>
          <w:rFonts w:hint="eastAsia"/>
          <w:b/>
          <w:sz w:val="28"/>
          <w:szCs w:val="28"/>
          <w:lang w:val="en-US" w:eastAsia="zh-CN"/>
        </w:rPr>
        <w:t>2</w:t>
      </w:r>
      <w:r>
        <w:rPr>
          <w:rFonts w:hint="eastAsia" w:ascii="微软雅黑" w:hAnsi="微软雅黑" w:eastAsia="微软雅黑"/>
          <w:b/>
          <w:sz w:val="28"/>
          <w:szCs w:val="28"/>
        </w:rPr>
        <w:t>年</w:t>
      </w:r>
      <w:r>
        <w:rPr>
          <w:rFonts w:hint="eastAsia"/>
          <w:b/>
          <w:sz w:val="28"/>
          <w:szCs w:val="28"/>
          <w:lang w:val="en-US" w:eastAsia="zh-CN"/>
        </w:rPr>
        <w:t>12</w:t>
      </w:r>
      <w:r>
        <w:rPr>
          <w:rFonts w:hint="eastAsia" w:ascii="微软雅黑" w:hAnsi="微软雅黑" w:eastAsia="微软雅黑"/>
          <w:b/>
          <w:sz w:val="28"/>
          <w:szCs w:val="28"/>
        </w:rPr>
        <w:t>月</w:t>
      </w:r>
    </w:p>
    <w:p>
      <w:pPr>
        <w:pStyle w:val="30"/>
        <w:spacing w:before="0" w:line="360" w:lineRule="auto"/>
        <w:jc w:val="center"/>
        <w:rPr>
          <w:rFonts w:ascii="微软雅黑" w:hAnsi="微软雅黑" w:eastAsia="微软雅黑"/>
          <w:lang w:val="zh-CN"/>
        </w:rPr>
        <w:sectPr>
          <w:headerReference r:id="rId5" w:type="default"/>
          <w:pgSz w:w="11906" w:h="16838"/>
          <w:pgMar w:top="1440" w:right="1800" w:bottom="1440" w:left="1800" w:header="851" w:footer="992" w:gutter="0"/>
          <w:cols w:space="425" w:num="1"/>
          <w:docGrid w:type="lines" w:linePitch="312" w:charSpace="0"/>
        </w:sectPr>
      </w:pPr>
    </w:p>
    <w:p>
      <w:pPr>
        <w:pStyle w:val="30"/>
        <w:spacing w:before="0" w:line="360" w:lineRule="auto"/>
        <w:jc w:val="center"/>
        <w:rPr>
          <w:rFonts w:ascii="微软雅黑" w:hAnsi="微软雅黑" w:eastAsia="微软雅黑"/>
        </w:rPr>
      </w:pPr>
      <w:r>
        <w:rPr>
          <w:rFonts w:ascii="微软雅黑" w:hAnsi="微软雅黑" w:eastAsia="微软雅黑"/>
          <w:lang w:val="zh-CN"/>
        </w:rPr>
        <w:t>目</w:t>
      </w:r>
      <w:r>
        <w:rPr>
          <w:rFonts w:hint="eastAsia" w:ascii="微软雅黑" w:hAnsi="微软雅黑" w:eastAsia="微软雅黑"/>
          <w:lang w:val="zh-CN"/>
        </w:rPr>
        <w:t xml:space="preserve">  </w:t>
      </w:r>
      <w:r>
        <w:rPr>
          <w:rFonts w:ascii="微软雅黑" w:hAnsi="微软雅黑" w:eastAsia="微软雅黑"/>
          <w:lang w:val="zh-CN"/>
        </w:rPr>
        <w:t>录</w:t>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TOC \o "1-9" \h \u </w:instrText>
      </w:r>
      <w:r>
        <w:rPr>
          <w:rFonts w:hint="eastAsia" w:ascii="微软雅黑" w:hAnsi="微软雅黑" w:eastAsia="微软雅黑" w:cs="微软雅黑"/>
          <w:lang w:val="zh-CN"/>
        </w:rPr>
        <w:fldChar w:fldCharType="separate"/>
      </w: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_Toc16049 </w:instrText>
      </w:r>
      <w:r>
        <w:rPr>
          <w:rFonts w:hint="eastAsia" w:ascii="微软雅黑" w:hAnsi="微软雅黑" w:eastAsia="微软雅黑" w:cs="微软雅黑"/>
          <w:lang w:val="zh-CN"/>
        </w:rPr>
        <w:fldChar w:fldCharType="separate"/>
      </w:r>
      <w:r>
        <w:rPr>
          <w:rFonts w:hint="eastAsia" w:ascii="微软雅黑" w:hAnsi="微软雅黑" w:eastAsia="微软雅黑"/>
        </w:rPr>
        <w:t>1. 功能</w:t>
      </w:r>
      <w:r>
        <w:rPr>
          <w:rFonts w:ascii="微软雅黑" w:hAnsi="微软雅黑" w:eastAsia="微软雅黑"/>
        </w:rPr>
        <w:t>列表</w:t>
      </w:r>
      <w:r>
        <w:tab/>
      </w:r>
      <w:r>
        <w:fldChar w:fldCharType="begin"/>
      </w:r>
      <w:r>
        <w:instrText xml:space="preserve"> PAGEREF _Toc16049 \h </w:instrText>
      </w:r>
      <w:r>
        <w:fldChar w:fldCharType="separate"/>
      </w:r>
      <w:r>
        <w:t>2</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_Toc16206 </w:instrText>
      </w:r>
      <w:r>
        <w:rPr>
          <w:rFonts w:hint="eastAsia" w:ascii="微软雅黑" w:hAnsi="微软雅黑" w:eastAsia="微软雅黑" w:cs="微软雅黑"/>
          <w:lang w:val="zh-CN"/>
        </w:rPr>
        <w:fldChar w:fldCharType="separate"/>
      </w:r>
      <w:r>
        <w:rPr>
          <w:rFonts w:hint="eastAsia"/>
          <w:lang w:val="en-US" w:eastAsia="zh-CN"/>
        </w:rPr>
        <w:t>2. 教师团队</w:t>
      </w:r>
      <w:r>
        <w:tab/>
      </w:r>
      <w:r>
        <w:fldChar w:fldCharType="begin"/>
      </w:r>
      <w:r>
        <w:instrText xml:space="preserve"> PAGEREF _Toc16206 \h </w:instrText>
      </w:r>
      <w:r>
        <w:fldChar w:fldCharType="separate"/>
      </w:r>
      <w:r>
        <w:t>3</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_Toc13611 </w:instrText>
      </w:r>
      <w:r>
        <w:rPr>
          <w:rFonts w:hint="eastAsia" w:ascii="微软雅黑" w:hAnsi="微软雅黑" w:eastAsia="微软雅黑" w:cs="微软雅黑"/>
          <w:lang w:val="zh-CN"/>
        </w:rPr>
        <w:fldChar w:fldCharType="separate"/>
      </w:r>
      <w:r>
        <w:rPr>
          <w:rFonts w:hint="eastAsia"/>
          <w:lang w:val="en-US" w:eastAsia="zh-CN"/>
        </w:rPr>
        <w:t>3. 选题</w:t>
      </w:r>
      <w:r>
        <w:tab/>
      </w:r>
      <w:r>
        <w:fldChar w:fldCharType="begin"/>
      </w:r>
      <w:r>
        <w:instrText xml:space="preserve"> PAGEREF _Toc13611 \h </w:instrText>
      </w:r>
      <w:r>
        <w:fldChar w:fldCharType="separate"/>
      </w:r>
      <w:r>
        <w:t>3</w:t>
      </w:r>
      <w:r>
        <w:fldChar w:fldCharType="end"/>
      </w:r>
      <w:r>
        <w:rPr>
          <w:rFonts w:hint="eastAsia" w:ascii="微软雅黑" w:hAnsi="微软雅黑" w:eastAsia="微软雅黑" w:cs="微软雅黑"/>
          <w:lang w:val="zh-CN"/>
        </w:rPr>
        <w:fldChar w:fldCharType="end"/>
      </w:r>
    </w:p>
    <w:p>
      <w:pPr>
        <w:pStyle w:val="15"/>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_Toc32230 </w:instrText>
      </w:r>
      <w:r>
        <w:rPr>
          <w:rFonts w:hint="eastAsia" w:ascii="微软雅黑" w:hAnsi="微软雅黑" w:eastAsia="微软雅黑" w:cs="微软雅黑"/>
          <w:lang w:val="zh-CN"/>
        </w:rPr>
        <w:fldChar w:fldCharType="separate"/>
      </w:r>
      <w:r>
        <w:rPr>
          <w:rFonts w:hint="eastAsia"/>
          <w:lang w:val="en-US" w:eastAsia="zh-CN"/>
        </w:rPr>
        <w:t>3.1. 初审毕设（论文）题目（仅供课程负责人）</w:t>
      </w:r>
      <w:r>
        <w:tab/>
      </w:r>
      <w:r>
        <w:fldChar w:fldCharType="begin"/>
      </w:r>
      <w:r>
        <w:instrText xml:space="preserve"> PAGEREF _Toc32230 \h </w:instrText>
      </w:r>
      <w:r>
        <w:fldChar w:fldCharType="separate"/>
      </w:r>
      <w:r>
        <w:t>3</w:t>
      </w:r>
      <w:r>
        <w:fldChar w:fldCharType="end"/>
      </w:r>
      <w:r>
        <w:rPr>
          <w:rFonts w:hint="eastAsia" w:ascii="微软雅黑" w:hAnsi="微软雅黑" w:eastAsia="微软雅黑" w:cs="微软雅黑"/>
          <w:lang w:val="zh-CN"/>
        </w:rPr>
        <w:fldChar w:fldCharType="end"/>
      </w:r>
    </w:p>
    <w:p>
      <w:pPr>
        <w:pStyle w:val="15"/>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_Toc12407 </w:instrText>
      </w:r>
      <w:r>
        <w:rPr>
          <w:rFonts w:hint="eastAsia" w:ascii="微软雅黑" w:hAnsi="微软雅黑" w:eastAsia="微软雅黑" w:cs="微软雅黑"/>
          <w:lang w:val="zh-CN"/>
        </w:rPr>
        <w:fldChar w:fldCharType="separate"/>
      </w:r>
      <w:r>
        <w:rPr>
          <w:rFonts w:hint="eastAsia"/>
          <w:lang w:val="en-US" w:eastAsia="zh-CN"/>
        </w:rPr>
        <w:t>3.2. 申报毕设（论文）题目（仅供指导教师）</w:t>
      </w:r>
      <w:r>
        <w:tab/>
      </w:r>
      <w:r>
        <w:fldChar w:fldCharType="begin"/>
      </w:r>
      <w:r>
        <w:instrText xml:space="preserve"> PAGEREF _Toc12407 \h </w:instrText>
      </w:r>
      <w:r>
        <w:fldChar w:fldCharType="separate"/>
      </w:r>
      <w:r>
        <w:t>6</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_Toc3947 </w:instrText>
      </w:r>
      <w:r>
        <w:rPr>
          <w:rFonts w:hint="eastAsia" w:ascii="微软雅黑" w:hAnsi="微软雅黑" w:eastAsia="微软雅黑" w:cs="微软雅黑"/>
          <w:lang w:val="zh-CN"/>
        </w:rPr>
        <w:fldChar w:fldCharType="separate"/>
      </w:r>
      <w:r>
        <w:rPr>
          <w:rFonts w:hint="eastAsia"/>
          <w:lang w:val="en-US" w:eastAsia="zh-CN"/>
        </w:rPr>
        <w:t>4. 毕设批次环节</w:t>
      </w:r>
      <w:r>
        <w:tab/>
      </w:r>
      <w:r>
        <w:fldChar w:fldCharType="begin"/>
      </w:r>
      <w:r>
        <w:instrText xml:space="preserve"> PAGEREF _Toc3947 \h </w:instrText>
      </w:r>
      <w:r>
        <w:fldChar w:fldCharType="separate"/>
      </w:r>
      <w:r>
        <w:t>8</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_Toc30662 </w:instrText>
      </w:r>
      <w:r>
        <w:rPr>
          <w:rFonts w:hint="eastAsia" w:ascii="微软雅黑" w:hAnsi="微软雅黑" w:eastAsia="微软雅黑" w:cs="微软雅黑"/>
          <w:lang w:val="zh-CN"/>
        </w:rPr>
        <w:fldChar w:fldCharType="separate"/>
      </w:r>
      <w:r>
        <w:rPr>
          <w:rFonts w:hint="eastAsia"/>
        </w:rPr>
        <w:t xml:space="preserve">5. </w:t>
      </w:r>
      <w:r>
        <w:rPr>
          <w:rFonts w:hint="eastAsia"/>
          <w:lang w:val="en-US" w:eastAsia="zh-CN"/>
        </w:rPr>
        <w:t>分配选题和教师（仅供课程负责人）</w:t>
      </w:r>
      <w:r>
        <w:tab/>
      </w:r>
      <w:r>
        <w:fldChar w:fldCharType="begin"/>
      </w:r>
      <w:r>
        <w:instrText xml:space="preserve"> PAGEREF _Toc30662 \h </w:instrText>
      </w:r>
      <w:r>
        <w:fldChar w:fldCharType="separate"/>
      </w:r>
      <w:r>
        <w:t>10</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_Toc13186 </w:instrText>
      </w:r>
      <w:r>
        <w:rPr>
          <w:rFonts w:hint="eastAsia" w:ascii="微软雅黑" w:hAnsi="微软雅黑" w:eastAsia="微软雅黑" w:cs="微软雅黑"/>
          <w:lang w:val="zh-CN"/>
        </w:rPr>
        <w:fldChar w:fldCharType="separate"/>
      </w:r>
      <w:r>
        <w:rPr>
          <w:rFonts w:hint="eastAsia"/>
        </w:rPr>
        <w:t xml:space="preserve">6. </w:t>
      </w:r>
      <w:r>
        <w:rPr>
          <w:rFonts w:hint="eastAsia"/>
          <w:lang w:val="en-US" w:eastAsia="zh-CN"/>
        </w:rPr>
        <w:t>选题管理</w:t>
      </w:r>
      <w:r>
        <w:tab/>
      </w:r>
      <w:r>
        <w:fldChar w:fldCharType="begin"/>
      </w:r>
      <w:r>
        <w:instrText xml:space="preserve"> PAGEREF _Toc13186 \h </w:instrText>
      </w:r>
      <w:r>
        <w:fldChar w:fldCharType="separate"/>
      </w:r>
      <w:r>
        <w:t>13</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_Toc21656 </w:instrText>
      </w:r>
      <w:r>
        <w:rPr>
          <w:rFonts w:hint="eastAsia" w:ascii="微软雅黑" w:hAnsi="微软雅黑" w:eastAsia="微软雅黑" w:cs="微软雅黑"/>
          <w:lang w:val="zh-CN"/>
        </w:rPr>
        <w:fldChar w:fldCharType="separate"/>
      </w:r>
      <w:r>
        <w:rPr>
          <w:rFonts w:hint="eastAsia"/>
          <w:lang w:val="en-US" w:eastAsia="zh-CN"/>
        </w:rPr>
        <w:t>7. 参考资料</w:t>
      </w:r>
      <w:r>
        <w:tab/>
      </w:r>
      <w:r>
        <w:fldChar w:fldCharType="begin"/>
      </w:r>
      <w:r>
        <w:instrText xml:space="preserve"> PAGEREF _Toc21656 \h </w:instrText>
      </w:r>
      <w:r>
        <w:fldChar w:fldCharType="separate"/>
      </w:r>
      <w:r>
        <w:t>14</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_Toc7273 </w:instrText>
      </w:r>
      <w:r>
        <w:rPr>
          <w:rFonts w:hint="eastAsia" w:ascii="微软雅黑" w:hAnsi="微软雅黑" w:eastAsia="微软雅黑" w:cs="微软雅黑"/>
          <w:lang w:val="zh-CN"/>
        </w:rPr>
        <w:fldChar w:fldCharType="separate"/>
      </w:r>
      <w:r>
        <w:rPr>
          <w:rFonts w:hint="eastAsia"/>
          <w:lang w:val="en-US" w:eastAsia="zh-CN"/>
        </w:rPr>
        <w:t>8. 批阅初评稿件</w:t>
      </w:r>
      <w:r>
        <w:tab/>
      </w:r>
      <w:r>
        <w:fldChar w:fldCharType="begin"/>
      </w:r>
      <w:r>
        <w:instrText xml:space="preserve"> PAGEREF _Toc7273 \h </w:instrText>
      </w:r>
      <w:r>
        <w:fldChar w:fldCharType="separate"/>
      </w:r>
      <w:r>
        <w:t>15</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_Toc3048 </w:instrText>
      </w:r>
      <w:r>
        <w:rPr>
          <w:rFonts w:hint="eastAsia" w:ascii="微软雅黑" w:hAnsi="微软雅黑" w:eastAsia="微软雅黑" w:cs="微软雅黑"/>
          <w:lang w:val="zh-CN"/>
        </w:rPr>
        <w:fldChar w:fldCharType="separate"/>
      </w:r>
      <w:r>
        <w:rPr>
          <w:rFonts w:hint="eastAsia"/>
          <w:lang w:val="en-US" w:eastAsia="zh-CN"/>
        </w:rPr>
        <w:t>9. 评阅管理</w:t>
      </w:r>
      <w:r>
        <w:tab/>
      </w:r>
      <w:r>
        <w:fldChar w:fldCharType="begin"/>
      </w:r>
      <w:r>
        <w:instrText xml:space="preserve"> PAGEREF _Toc3048 \h </w:instrText>
      </w:r>
      <w:r>
        <w:fldChar w:fldCharType="separate"/>
      </w:r>
      <w:r>
        <w:t>17</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_Toc20483 </w:instrText>
      </w:r>
      <w:r>
        <w:rPr>
          <w:rFonts w:hint="eastAsia" w:ascii="微软雅黑" w:hAnsi="微软雅黑" w:eastAsia="微软雅黑" w:cs="微软雅黑"/>
          <w:lang w:val="zh-CN"/>
        </w:rPr>
        <w:fldChar w:fldCharType="separate"/>
      </w:r>
      <w:r>
        <w:rPr>
          <w:rFonts w:hint="eastAsia"/>
          <w:lang w:val="en-US" w:eastAsia="zh-CN"/>
        </w:rPr>
        <w:t>10. 答辩安排</w:t>
      </w:r>
      <w:r>
        <w:tab/>
      </w:r>
      <w:r>
        <w:fldChar w:fldCharType="begin"/>
      </w:r>
      <w:r>
        <w:instrText xml:space="preserve"> PAGEREF _Toc20483 \h </w:instrText>
      </w:r>
      <w:r>
        <w:fldChar w:fldCharType="separate"/>
      </w:r>
      <w:r>
        <w:t>20</w:t>
      </w:r>
      <w:r>
        <w:fldChar w:fldCharType="end"/>
      </w:r>
      <w:r>
        <w:rPr>
          <w:rFonts w:hint="eastAsia" w:ascii="微软雅黑" w:hAnsi="微软雅黑" w:eastAsia="微软雅黑" w:cs="微软雅黑"/>
          <w:lang w:val="zh-CN"/>
        </w:rPr>
        <w:fldChar w:fldCharType="end"/>
      </w:r>
    </w:p>
    <w:p>
      <w:pPr>
        <w:pStyle w:val="14"/>
        <w:tabs>
          <w:tab w:val="right" w:leader="dot" w:pos="8306"/>
        </w:tabs>
      </w:pPr>
      <w:r>
        <w:rPr>
          <w:rFonts w:hint="eastAsia" w:ascii="微软雅黑" w:hAnsi="微软雅黑" w:eastAsia="微软雅黑" w:cs="微软雅黑"/>
          <w:lang w:val="zh-CN"/>
        </w:rPr>
        <w:fldChar w:fldCharType="begin"/>
      </w:r>
      <w:r>
        <w:rPr>
          <w:rFonts w:hint="eastAsia" w:ascii="微软雅黑" w:hAnsi="微软雅黑" w:eastAsia="微软雅黑" w:cs="微软雅黑"/>
          <w:lang w:val="zh-CN"/>
        </w:rPr>
        <w:instrText xml:space="preserve"> HYPERLINK \l _Toc21917 </w:instrText>
      </w:r>
      <w:r>
        <w:rPr>
          <w:rFonts w:hint="eastAsia" w:ascii="微软雅黑" w:hAnsi="微软雅黑" w:eastAsia="微软雅黑" w:cs="微软雅黑"/>
          <w:lang w:val="zh-CN"/>
        </w:rPr>
        <w:fldChar w:fldCharType="separate"/>
      </w:r>
      <w:r>
        <w:rPr>
          <w:rFonts w:hint="eastAsia"/>
          <w:lang w:val="en-US" w:eastAsia="zh-CN"/>
        </w:rPr>
        <w:t>11. 毕设成绩</w:t>
      </w:r>
      <w:r>
        <w:tab/>
      </w:r>
      <w:r>
        <w:fldChar w:fldCharType="begin"/>
      </w:r>
      <w:r>
        <w:instrText xml:space="preserve"> PAGEREF _Toc21917 \h </w:instrText>
      </w:r>
      <w:r>
        <w:fldChar w:fldCharType="separate"/>
      </w:r>
      <w:r>
        <w:t>23</w:t>
      </w:r>
      <w:r>
        <w:fldChar w:fldCharType="end"/>
      </w:r>
      <w:r>
        <w:rPr>
          <w:rFonts w:hint="eastAsia" w:ascii="微软雅黑" w:hAnsi="微软雅黑" w:eastAsia="微软雅黑" w:cs="微软雅黑"/>
          <w:lang w:val="zh-CN"/>
        </w:rPr>
        <w:fldChar w:fldCharType="end"/>
      </w:r>
    </w:p>
    <w:p>
      <w:pPr>
        <w:rPr>
          <w:lang w:val="zh-CN"/>
        </w:rPr>
      </w:pPr>
      <w:r>
        <w:rPr>
          <w:rFonts w:hint="eastAsia" w:ascii="微软雅黑" w:hAnsi="微软雅黑" w:eastAsia="微软雅黑" w:cs="微软雅黑"/>
          <w:lang w:val="zh-CN"/>
        </w:rPr>
        <w:fldChar w:fldCharType="end"/>
      </w:r>
    </w:p>
    <w:p>
      <w:pPr>
        <w:rPr>
          <w:rFonts w:hint="eastAsia" w:ascii="微软雅黑" w:hAnsi="微软雅黑" w:eastAsia="微软雅黑" w:cs="微软雅黑"/>
          <w:lang w:val="en-US" w:eastAsia="zh-CN"/>
        </w:rPr>
      </w:pPr>
      <w:r>
        <w:br w:type="page"/>
      </w:r>
    </w:p>
    <w:p>
      <w:pPr>
        <w:pStyle w:val="2"/>
        <w:spacing w:before="0" w:after="0" w:line="360" w:lineRule="auto"/>
        <w:rPr>
          <w:rFonts w:ascii="微软雅黑" w:hAnsi="微软雅黑" w:eastAsia="微软雅黑"/>
        </w:rPr>
      </w:pPr>
      <w:bookmarkStart w:id="0" w:name="_Toc16049"/>
      <w:bookmarkStart w:id="1" w:name="_Toc511754261"/>
      <w:r>
        <w:rPr>
          <w:rFonts w:hint="eastAsia" w:ascii="微软雅黑" w:hAnsi="微软雅黑" w:eastAsia="微软雅黑"/>
        </w:rPr>
        <w:t>功能</w:t>
      </w:r>
      <w:r>
        <w:rPr>
          <w:rFonts w:ascii="微软雅黑" w:hAnsi="微软雅黑" w:eastAsia="微软雅黑"/>
        </w:rPr>
        <w:t>列表</w:t>
      </w:r>
      <w:bookmarkEnd w:id="0"/>
      <w:bookmarkEnd w:id="1"/>
    </w:p>
    <w:tbl>
      <w:tblPr>
        <w:tblStyle w:val="31"/>
        <w:tblW w:w="7099" w:type="dxa"/>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autofit"/>
        <w:tblCellMar>
          <w:top w:w="0" w:type="dxa"/>
          <w:left w:w="108" w:type="dxa"/>
          <w:bottom w:w="0" w:type="dxa"/>
          <w:right w:w="108" w:type="dxa"/>
        </w:tblCellMar>
      </w:tblPr>
      <w:tblGrid>
        <w:gridCol w:w="1222"/>
        <w:gridCol w:w="2519"/>
        <w:gridCol w:w="3358"/>
      </w:tblGrid>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19" w:hRule="atLeast"/>
        </w:trPr>
        <w:tc>
          <w:tcPr>
            <w:tcW w:w="1222" w:type="dxa"/>
            <w:tcBorders>
              <w:bottom w:val="single" w:color="666666" w:themeColor="text1" w:themeTint="99" w:sz="12" w:space="0"/>
              <w:insideH w:val="single" w:sz="12" w:space="0"/>
            </w:tcBorders>
            <w:shd w:val="clear" w:color="auto" w:fill="DEEAF6" w:themeFill="accent1" w:themeFillTint="33"/>
            <w:vAlign w:val="center"/>
          </w:tcPr>
          <w:p>
            <w:pPr>
              <w:ind w:left="0" w:leftChars="0" w:firstLine="0" w:firstLineChars="0"/>
              <w:jc w:val="center"/>
              <w:textAlignment w:val="center"/>
              <w:rPr>
                <w:rFonts w:hint="eastAsia" w:ascii="等线" w:hAnsi="等线" w:eastAsia="等线"/>
                <w:b/>
                <w:bCs/>
                <w:lang w:val="en-US" w:eastAsia="zh-CN"/>
              </w:rPr>
            </w:pPr>
            <w:r>
              <w:rPr>
                <w:rFonts w:hint="eastAsia" w:ascii="等线" w:hAnsi="等线" w:eastAsia="等线"/>
                <w:b/>
                <w:bCs/>
                <w:lang w:val="en-US" w:eastAsia="zh-CN"/>
              </w:rPr>
              <w:t>模块</w:t>
            </w:r>
          </w:p>
        </w:tc>
        <w:tc>
          <w:tcPr>
            <w:tcW w:w="2519" w:type="dxa"/>
            <w:tcBorders>
              <w:bottom w:val="single" w:color="666666" w:themeColor="text1" w:themeTint="99" w:sz="12" w:space="0"/>
              <w:insideH w:val="single" w:sz="12" w:space="0"/>
            </w:tcBorders>
            <w:shd w:val="clear" w:color="auto" w:fill="DEEAF6" w:themeFill="accent1" w:themeFillTint="33"/>
            <w:vAlign w:val="center"/>
          </w:tcPr>
          <w:p>
            <w:pPr>
              <w:ind w:left="0" w:leftChars="0" w:firstLine="0" w:firstLineChars="0"/>
              <w:jc w:val="center"/>
              <w:textAlignment w:val="center"/>
              <w:rPr>
                <w:rFonts w:ascii="等线" w:hAnsi="等线" w:eastAsia="等线"/>
                <w:b/>
                <w:bCs/>
              </w:rPr>
            </w:pPr>
            <w:r>
              <w:rPr>
                <w:rFonts w:ascii="等线" w:hAnsi="等线" w:eastAsia="等线"/>
                <w:b/>
                <w:bCs/>
              </w:rPr>
              <w:t>功能名称</w:t>
            </w:r>
          </w:p>
        </w:tc>
        <w:tc>
          <w:tcPr>
            <w:tcW w:w="3358" w:type="dxa"/>
            <w:tcBorders>
              <w:bottom w:val="single" w:color="666666" w:themeColor="text1" w:themeTint="99" w:sz="12" w:space="0"/>
              <w:insideH w:val="single" w:sz="12" w:space="0"/>
            </w:tcBorders>
            <w:shd w:val="clear" w:color="auto" w:fill="DEEAF6" w:themeFill="accent1" w:themeFillTint="33"/>
            <w:vAlign w:val="center"/>
          </w:tcPr>
          <w:p>
            <w:pPr>
              <w:ind w:left="0" w:leftChars="0" w:firstLine="0" w:firstLineChars="0"/>
              <w:jc w:val="center"/>
              <w:textAlignment w:val="center"/>
              <w:rPr>
                <w:rFonts w:ascii="等线" w:hAnsi="等线" w:eastAsia="等线"/>
                <w:b/>
                <w:bCs/>
              </w:rPr>
            </w:pPr>
            <w:r>
              <w:rPr>
                <w:rFonts w:ascii="等线" w:hAnsi="等线" w:eastAsia="等线"/>
                <w:b/>
                <w:bCs/>
              </w:rPr>
              <w:t>描述</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restart"/>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毕设平台</w:t>
            </w: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申报毕业（论文）题目</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查看自己申报或分配给自己的题目</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初审毕设（论文）题目</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查看、审核本课程下申报的题目</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毕设批次环节</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查看毕设批次环节，编辑初评环节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分配选题和教师</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查询、分配学生的选题和指导、评阅教师</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选题管理</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管理学生的自拟选题</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批阅初评稿件</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批阅学生初评环节各个阶段的稿件</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评阅管理</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评阅学生初评环节的终稿</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查看答辩安排</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查看答辩小组安排以及答辩学生名单</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查看毕设成绩</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查看学生毕设课程的成绩明细</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参考资料</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管理毕设课程下参考资料</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4" w:hRule="atLeast"/>
        </w:trPr>
        <w:tc>
          <w:tcPr>
            <w:tcW w:w="1222" w:type="dxa"/>
            <w:vMerge w:val="continue"/>
            <w:vAlign w:val="center"/>
          </w:tcPr>
          <w:p>
            <w:pPr>
              <w:ind w:left="0" w:leftChars="0" w:firstLine="0" w:firstLineChars="0"/>
              <w:jc w:val="left"/>
              <w:textAlignment w:val="center"/>
              <w:rPr>
                <w:rFonts w:hint="default" w:ascii="等线" w:hAnsi="等线" w:eastAsia="等线"/>
                <w:lang w:val="en-US" w:eastAsia="zh-CN"/>
              </w:rPr>
            </w:pPr>
          </w:p>
        </w:tc>
        <w:tc>
          <w:tcPr>
            <w:tcW w:w="2519"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教师团队</w:t>
            </w:r>
          </w:p>
        </w:tc>
        <w:tc>
          <w:tcPr>
            <w:tcW w:w="3358" w:type="dxa"/>
            <w:vAlign w:val="center"/>
          </w:tcPr>
          <w:p>
            <w:pPr>
              <w:ind w:left="0" w:leftChars="0" w:firstLine="0" w:firstLineChars="0"/>
              <w:jc w:val="left"/>
              <w:textAlignment w:val="center"/>
              <w:rPr>
                <w:rFonts w:hint="default" w:ascii="等线" w:hAnsi="等线" w:eastAsia="等线"/>
                <w:lang w:val="en-US" w:eastAsia="zh-CN"/>
              </w:rPr>
            </w:pPr>
            <w:r>
              <w:rPr>
                <w:rFonts w:hint="eastAsia" w:ascii="等线" w:hAnsi="等线" w:eastAsia="等线"/>
                <w:lang w:val="en-US" w:eastAsia="zh-CN"/>
              </w:rPr>
              <w:t>管理课程的教师团队</w:t>
            </w:r>
          </w:p>
        </w:tc>
      </w:tr>
    </w:tbl>
    <w:p/>
    <w:p>
      <w:r>
        <w:br w:type="page"/>
      </w:r>
    </w:p>
    <w:p>
      <w:pPr>
        <w:pStyle w:val="2"/>
        <w:bidi w:val="0"/>
        <w:rPr>
          <w:rFonts w:hint="default"/>
          <w:lang w:val="en-US" w:eastAsia="zh-CN"/>
        </w:rPr>
      </w:pPr>
      <w:bookmarkStart w:id="2" w:name="_Toc16206"/>
      <w:r>
        <w:rPr>
          <w:rFonts w:hint="eastAsia"/>
          <w:lang w:val="en-US" w:eastAsia="zh-CN"/>
        </w:rPr>
        <w:t>教师团队</w:t>
      </w:r>
      <w:bookmarkEnd w:id="2"/>
    </w:p>
    <w:p>
      <w:pPr>
        <w:rPr>
          <w:rFonts w:hint="eastAsia"/>
          <w:lang w:val="en-US" w:eastAsia="zh-CN"/>
        </w:rPr>
      </w:pPr>
      <w:r>
        <w:rPr>
          <w:rFonts w:hint="eastAsia"/>
          <w:lang w:val="en-US" w:eastAsia="zh-CN"/>
        </w:rPr>
        <w:t>课程负责人可在毕设管理平台给自己负责的毕设课程分配课程辅导教师。在当前页面将默认显示此课程下所有教师团队人员，课程负责人可新增、删除课程下辅导教师，或变更课程辅导教师的授课状态。</w:t>
      </w:r>
    </w:p>
    <w:p>
      <w:pPr>
        <w:rPr>
          <w:rFonts w:hint="eastAsia"/>
          <w:lang w:val="en-US" w:eastAsia="zh-CN"/>
        </w:rPr>
      </w:pPr>
      <w:r>
        <w:rPr>
          <w:rFonts w:hint="eastAsia"/>
          <w:lang w:val="en-US" w:eastAsia="zh-CN"/>
        </w:rPr>
        <w:t>当前教师已有辅导班级时不能接触该教师与课程的授课关系。停用教师授课状态后，该教师无法建课或课程辅导，但该教师的授课关系依然存在，通过编辑仍可重新启用。</w:t>
      </w:r>
    </w:p>
    <w:p>
      <w:pPr>
        <w:ind w:left="0" w:leftChars="0" w:firstLine="0" w:firstLineChars="0"/>
      </w:pPr>
      <w:r>
        <w:drawing>
          <wp:inline distT="0" distB="0" distL="114300" distR="114300">
            <wp:extent cx="5273040" cy="1938655"/>
            <wp:effectExtent l="0" t="0" r="10160"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
                    <a:stretch>
                      <a:fillRect/>
                    </a:stretch>
                  </pic:blipFill>
                  <pic:spPr>
                    <a:xfrm>
                      <a:off x="0" y="0"/>
                      <a:ext cx="5273040" cy="1938655"/>
                    </a:xfrm>
                    <a:prstGeom prst="rect">
                      <a:avLst/>
                    </a:prstGeom>
                    <a:noFill/>
                    <a:ln>
                      <a:noFill/>
                    </a:ln>
                  </pic:spPr>
                </pic:pic>
              </a:graphicData>
            </a:graphic>
          </wp:inline>
        </w:drawing>
      </w:r>
    </w:p>
    <w:p>
      <w:pPr>
        <w:ind w:left="0" w:leftChars="0" w:firstLine="0" w:firstLineChars="0"/>
        <w:rPr>
          <w:rFonts w:hint="default"/>
          <w:lang w:val="en-US" w:eastAsia="zh-CN"/>
        </w:rPr>
      </w:pPr>
      <w:r>
        <w:drawing>
          <wp:inline distT="0" distB="0" distL="114300" distR="114300">
            <wp:extent cx="5267325" cy="2201545"/>
            <wp:effectExtent l="0" t="0" r="3175"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5267325" cy="2201545"/>
                    </a:xfrm>
                    <a:prstGeom prst="rect">
                      <a:avLst/>
                    </a:prstGeom>
                    <a:noFill/>
                    <a:ln>
                      <a:noFill/>
                    </a:ln>
                  </pic:spPr>
                </pic:pic>
              </a:graphicData>
            </a:graphic>
          </wp:inline>
        </w:drawing>
      </w:r>
    </w:p>
    <w:p>
      <w:pPr>
        <w:pStyle w:val="2"/>
        <w:bidi w:val="0"/>
        <w:rPr>
          <w:rFonts w:hint="default"/>
          <w:lang w:val="en-US" w:eastAsia="zh-CN"/>
        </w:rPr>
      </w:pPr>
      <w:bookmarkStart w:id="3" w:name="_Toc13611"/>
      <w:r>
        <w:rPr>
          <w:rFonts w:hint="eastAsia"/>
          <w:lang w:val="en-US" w:eastAsia="zh-CN"/>
        </w:rPr>
        <w:t>选题</w:t>
      </w:r>
      <w:bookmarkEnd w:id="3"/>
    </w:p>
    <w:p>
      <w:pPr>
        <w:rPr>
          <w:rFonts w:hint="eastAsia"/>
          <w:lang w:val="en-US" w:eastAsia="zh-CN"/>
        </w:rPr>
      </w:pPr>
      <w:r>
        <w:rPr>
          <w:rFonts w:hint="eastAsia"/>
          <w:lang w:val="en-US" w:eastAsia="zh-CN"/>
        </w:rPr>
        <w:t>在毕设课程下，教师可以申报该课程的毕设（论文）题目（以下简称毕设题目）。毕设课程负责人也可以在该界面审核指导教师上报的毕设题目。审核通过后的毕设题目将进入毕设题目库，启用后该题目可被已选择当前课程的学生选择。</w:t>
      </w:r>
    </w:p>
    <w:p>
      <w:pPr>
        <w:pStyle w:val="3"/>
        <w:bidi w:val="0"/>
        <w:rPr>
          <w:rFonts w:hint="default"/>
          <w:lang w:val="en-US" w:eastAsia="zh-CN"/>
        </w:rPr>
      </w:pPr>
      <w:bookmarkStart w:id="4" w:name="_Toc32230"/>
      <w:r>
        <w:rPr>
          <w:rFonts w:hint="eastAsia"/>
          <w:lang w:val="en-US" w:eastAsia="zh-CN"/>
        </w:rPr>
        <w:t>初审毕设（论文）方向（仅供课程负责人）</w:t>
      </w:r>
      <w:bookmarkEnd w:id="4"/>
    </w:p>
    <w:p>
      <w:pPr>
        <w:rPr>
          <w:rFonts w:hint="eastAsia"/>
          <w:lang w:val="en-US" w:eastAsia="zh-CN"/>
        </w:rPr>
      </w:pPr>
      <w:r>
        <w:rPr>
          <w:rFonts w:hint="eastAsia"/>
          <w:lang w:val="en-US" w:eastAsia="zh-CN"/>
        </w:rPr>
        <w:t>毕设课程负责人在教学平台课程页面的顶部点击“去毕设平台”按钮跳转至毕设平台进行相应的操作。</w:t>
      </w:r>
    </w:p>
    <w:p>
      <w:pPr>
        <w:ind w:left="0" w:leftChars="0" w:firstLine="0" w:firstLineChars="0"/>
      </w:pPr>
      <w:r>
        <w:drawing>
          <wp:inline distT="0" distB="0" distL="114300" distR="114300">
            <wp:extent cx="5265420" cy="2411095"/>
            <wp:effectExtent l="0" t="0" r="5080" b="190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0"/>
                    <a:stretch>
                      <a:fillRect/>
                    </a:stretch>
                  </pic:blipFill>
                  <pic:spPr>
                    <a:xfrm>
                      <a:off x="0" y="0"/>
                      <a:ext cx="5265420" cy="2411095"/>
                    </a:xfrm>
                    <a:prstGeom prst="rect">
                      <a:avLst/>
                    </a:prstGeom>
                    <a:noFill/>
                    <a:ln>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初审毕设方向</w:t>
      </w:r>
    </w:p>
    <w:p>
      <w:pPr>
        <w:numPr>
          <w:ilvl w:val="0"/>
          <w:numId w:val="0"/>
        </w:numPr>
        <w:ind w:leftChars="0" w:firstLine="420" w:firstLineChars="0"/>
        <w:rPr>
          <w:rFonts w:hint="eastAsia"/>
          <w:lang w:val="en-US" w:eastAsia="zh-CN"/>
        </w:rPr>
      </w:pPr>
      <w:r>
        <w:rPr>
          <w:rFonts w:hint="eastAsia"/>
          <w:lang w:val="en-US" w:eastAsia="zh-CN"/>
        </w:rPr>
        <w:t>课程负责人可在当前页面查看本课程下的所有方向。并对本课程下指导教师已申报的毕设方向进行初审，初审通过后该毕设方向将进入到下一级审核。审核驳回的毕设方向返回至申报教师处修改。</w:t>
      </w:r>
    </w:p>
    <w:p>
      <w:pPr>
        <w:numPr>
          <w:ilvl w:val="0"/>
          <w:numId w:val="0"/>
        </w:numPr>
        <w:rPr>
          <w:rFonts w:hint="default"/>
          <w:lang w:val="en-US" w:eastAsia="zh-CN"/>
        </w:rPr>
      </w:pPr>
      <w:r>
        <w:drawing>
          <wp:inline distT="0" distB="0" distL="114300" distR="114300">
            <wp:extent cx="5267325" cy="1884045"/>
            <wp:effectExtent l="0" t="0" r="3175" b="825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1"/>
                    <a:stretch>
                      <a:fillRect/>
                    </a:stretch>
                  </pic:blipFill>
                  <pic:spPr>
                    <a:xfrm>
                      <a:off x="0" y="0"/>
                      <a:ext cx="5267325" cy="1884045"/>
                    </a:xfrm>
                    <a:prstGeom prst="rect">
                      <a:avLst/>
                    </a:prstGeom>
                    <a:noFill/>
                    <a:ln>
                      <a:noFill/>
                    </a:ln>
                  </pic:spPr>
                </pic:pic>
              </a:graphicData>
            </a:graphic>
          </wp:inline>
        </w:drawing>
      </w:r>
    </w:p>
    <w:p>
      <w:pPr>
        <w:numPr>
          <w:ilvl w:val="0"/>
          <w:numId w:val="3"/>
        </w:numPr>
        <w:ind w:left="0" w:leftChars="0" w:firstLine="0" w:firstLineChars="0"/>
        <w:rPr>
          <w:rFonts w:hint="default"/>
          <w:lang w:val="en-US" w:eastAsia="zh-CN"/>
        </w:rPr>
      </w:pPr>
      <w:r>
        <w:rPr>
          <w:rFonts w:hint="eastAsia"/>
          <w:lang w:val="en-US" w:eastAsia="zh-CN"/>
        </w:rPr>
        <w:t>申报毕设方向</w:t>
      </w:r>
    </w:p>
    <w:p>
      <w:pPr>
        <w:numPr>
          <w:ilvl w:val="0"/>
          <w:numId w:val="0"/>
        </w:numPr>
        <w:ind w:leftChars="0" w:firstLine="420" w:firstLineChars="0"/>
        <w:rPr>
          <w:rFonts w:hint="eastAsia"/>
          <w:lang w:val="en-US" w:eastAsia="zh-CN"/>
        </w:rPr>
      </w:pPr>
      <w:r>
        <w:rPr>
          <w:rFonts w:hint="eastAsia"/>
          <w:lang w:val="en-US" w:eastAsia="zh-CN"/>
        </w:rPr>
        <w:t>课程负责人也可在当前页面申报选题，填写毕设方向相关信息并上传毕设方向的附件。</w:t>
      </w:r>
    </w:p>
    <w:p>
      <w:pPr>
        <w:numPr>
          <w:ilvl w:val="0"/>
          <w:numId w:val="0"/>
        </w:numPr>
        <w:ind w:leftChars="0" w:firstLine="420" w:firstLineChars="0"/>
        <w:rPr>
          <w:rFonts w:hint="eastAsia"/>
          <w:lang w:val="en-US" w:eastAsia="zh-CN"/>
        </w:rPr>
      </w:pPr>
      <w:r>
        <w:rPr>
          <w:rFonts w:hint="eastAsia"/>
          <w:lang w:val="en-US" w:eastAsia="zh-CN"/>
        </w:rPr>
        <w:t>由课程负责人申报的毕设方向审核状态默认为“初审通过”并直接进入下一级审核流程。</w:t>
      </w:r>
    </w:p>
    <w:p>
      <w:pPr>
        <w:numPr>
          <w:ilvl w:val="0"/>
          <w:numId w:val="0"/>
        </w:numPr>
      </w:pPr>
      <w:r>
        <w:drawing>
          <wp:inline distT="0" distB="0" distL="114300" distR="114300">
            <wp:extent cx="5266690" cy="2515870"/>
            <wp:effectExtent l="0" t="0" r="3810" b="1143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2"/>
                    <a:stretch>
                      <a:fillRect/>
                    </a:stretch>
                  </pic:blipFill>
                  <pic:spPr>
                    <a:xfrm>
                      <a:off x="0" y="0"/>
                      <a:ext cx="5266690" cy="2515870"/>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262880" cy="2422525"/>
            <wp:effectExtent l="0" t="0" r="7620" b="317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3"/>
                    <a:stretch>
                      <a:fillRect/>
                    </a:stretch>
                  </pic:blipFill>
                  <pic:spPr>
                    <a:xfrm>
                      <a:off x="0" y="0"/>
                      <a:ext cx="5262880" cy="2422525"/>
                    </a:xfrm>
                    <a:prstGeom prst="rect">
                      <a:avLst/>
                    </a:prstGeom>
                    <a:noFill/>
                    <a:ln>
                      <a:noFill/>
                    </a:ln>
                  </pic:spPr>
                </pic:pic>
              </a:graphicData>
            </a:graphic>
          </wp:inline>
        </w:drawing>
      </w:r>
    </w:p>
    <w:p>
      <w:pPr>
        <w:numPr>
          <w:ilvl w:val="0"/>
          <w:numId w:val="3"/>
        </w:numPr>
        <w:ind w:left="0" w:leftChars="0" w:firstLine="0" w:firstLineChars="0"/>
        <w:rPr>
          <w:rFonts w:hint="default"/>
          <w:lang w:val="en-US" w:eastAsia="zh-CN"/>
        </w:rPr>
      </w:pPr>
      <w:r>
        <w:rPr>
          <w:rFonts w:hint="eastAsia"/>
          <w:lang w:val="en-US" w:eastAsia="zh-CN"/>
        </w:rPr>
        <w:t>修改/删除毕设方向</w:t>
      </w:r>
    </w:p>
    <w:p>
      <w:pPr>
        <w:numPr>
          <w:ilvl w:val="0"/>
          <w:numId w:val="0"/>
        </w:numPr>
        <w:ind w:leftChars="0" w:firstLine="420" w:firstLineChars="0"/>
        <w:rPr>
          <w:rFonts w:hint="eastAsia"/>
          <w:lang w:val="en-US" w:eastAsia="zh-CN"/>
        </w:rPr>
      </w:pPr>
      <w:r>
        <w:rPr>
          <w:rFonts w:hint="eastAsia"/>
          <w:lang w:val="en-US" w:eastAsia="zh-CN"/>
        </w:rPr>
        <w:t>复审通过前课程负责人可以直接编辑毕设方向内容，不影响审核状态。若是课程负责人自己申报的方向，终审通过后也可以修改，修改后将重新进入审核流程。</w:t>
      </w:r>
    </w:p>
    <w:p>
      <w:pPr>
        <w:numPr>
          <w:ilvl w:val="0"/>
          <w:numId w:val="0"/>
        </w:numPr>
        <w:ind w:leftChars="0" w:firstLine="420" w:firstLineChars="0"/>
        <w:rPr>
          <w:rFonts w:hint="default"/>
          <w:lang w:val="en-US" w:eastAsia="zh-CN"/>
        </w:rPr>
      </w:pPr>
      <w:r>
        <w:rPr>
          <w:rFonts w:hint="eastAsia"/>
          <w:lang w:val="en-US" w:eastAsia="zh-CN"/>
        </w:rPr>
        <w:t>此外，删除毕设方向需要二次确认，并且已经复审通过的毕设方向将不能再删除。</w:t>
      </w:r>
    </w:p>
    <w:p>
      <w:pPr>
        <w:numPr>
          <w:ilvl w:val="0"/>
          <w:numId w:val="0"/>
        </w:numPr>
      </w:pPr>
      <w:r>
        <w:drawing>
          <wp:inline distT="0" distB="0" distL="114300" distR="114300">
            <wp:extent cx="5266055" cy="2212340"/>
            <wp:effectExtent l="0" t="0" r="4445" b="1016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4"/>
                    <a:stretch>
                      <a:fillRect/>
                    </a:stretch>
                  </pic:blipFill>
                  <pic:spPr>
                    <a:xfrm>
                      <a:off x="0" y="0"/>
                      <a:ext cx="5266055" cy="2212340"/>
                    </a:xfrm>
                    <a:prstGeom prst="rect">
                      <a:avLst/>
                    </a:prstGeom>
                    <a:noFill/>
                    <a:ln>
                      <a:noFill/>
                    </a:ln>
                  </pic:spPr>
                </pic:pic>
              </a:graphicData>
            </a:graphic>
          </wp:inline>
        </w:drawing>
      </w:r>
    </w:p>
    <w:p>
      <w:pPr>
        <w:numPr>
          <w:ilvl w:val="0"/>
          <w:numId w:val="0"/>
        </w:numPr>
        <w:rPr>
          <w:rFonts w:hint="default"/>
          <w:lang w:val="en-US" w:eastAsia="zh-CN"/>
        </w:rPr>
      </w:pPr>
    </w:p>
    <w:p>
      <w:pPr>
        <w:pStyle w:val="3"/>
        <w:bidi w:val="0"/>
        <w:rPr>
          <w:rFonts w:hint="default"/>
          <w:lang w:val="en-US" w:eastAsia="zh-CN"/>
        </w:rPr>
      </w:pPr>
      <w:bookmarkStart w:id="5" w:name="_Toc12407"/>
      <w:r>
        <w:rPr>
          <w:rFonts w:hint="eastAsia"/>
          <w:lang w:val="en-US" w:eastAsia="zh-CN"/>
        </w:rPr>
        <w:t>申报毕设（论文）方向（仅供指导教师）</w:t>
      </w:r>
      <w:bookmarkEnd w:id="5"/>
    </w:p>
    <w:p>
      <w:pPr>
        <w:rPr>
          <w:rFonts w:hint="eastAsia"/>
          <w:lang w:val="en-US" w:eastAsia="zh-CN"/>
        </w:rPr>
      </w:pPr>
      <w:r>
        <w:rPr>
          <w:rFonts w:hint="eastAsia"/>
          <w:lang w:val="en-US" w:eastAsia="zh-CN"/>
        </w:rPr>
        <w:t>指导教师可在教学平台课程页面的顶部点击“去毕设平台”按钮将跳转至毕设平台查看毕设方向审核的具体信息，或在毕设平台申报新的毕设方向。</w:t>
      </w:r>
    </w:p>
    <w:p>
      <w:pPr>
        <w:numPr>
          <w:ilvl w:val="0"/>
          <w:numId w:val="4"/>
        </w:numPr>
        <w:ind w:left="0" w:leftChars="0" w:firstLine="0" w:firstLineChars="0"/>
        <w:rPr>
          <w:rFonts w:hint="eastAsia"/>
          <w:lang w:val="en-US" w:eastAsia="zh-CN"/>
        </w:rPr>
      </w:pPr>
      <w:r>
        <w:rPr>
          <w:rFonts w:hint="eastAsia"/>
          <w:lang w:val="en-US" w:eastAsia="zh-CN"/>
        </w:rPr>
        <w:t>申报毕设方向</w:t>
      </w:r>
    </w:p>
    <w:p>
      <w:pPr>
        <w:numPr>
          <w:ilvl w:val="0"/>
          <w:numId w:val="0"/>
        </w:numPr>
        <w:ind w:leftChars="0" w:firstLine="420" w:firstLineChars="0"/>
        <w:rPr>
          <w:rFonts w:hint="eastAsia"/>
          <w:lang w:val="en-US" w:eastAsia="zh-CN"/>
        </w:rPr>
      </w:pPr>
      <w:r>
        <w:rPr>
          <w:rFonts w:hint="eastAsia"/>
          <w:lang w:val="en-US" w:eastAsia="zh-CN"/>
        </w:rPr>
        <w:t>指导教师可在当前页面申报毕设方向，填写毕设方向相关信息并上传毕设方向的附件。提交保存后该毕设方向将进入审核流程。若审核通过，则方向进入毕设方向库供学生选题，若审核驳回，则需要指导教师针对当前毕设方向进行修改并再次提交审核。</w:t>
      </w:r>
    </w:p>
    <w:p>
      <w:pPr>
        <w:numPr>
          <w:ilvl w:val="0"/>
          <w:numId w:val="0"/>
        </w:numPr>
      </w:pPr>
      <w:r>
        <w:drawing>
          <wp:inline distT="0" distB="0" distL="114300" distR="114300">
            <wp:extent cx="5262880" cy="2466340"/>
            <wp:effectExtent l="0" t="0" r="7620" b="1016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5"/>
                    <a:stretch>
                      <a:fillRect/>
                    </a:stretch>
                  </pic:blipFill>
                  <pic:spPr>
                    <a:xfrm>
                      <a:off x="0" y="0"/>
                      <a:ext cx="5262880" cy="2466340"/>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262880" cy="2517140"/>
            <wp:effectExtent l="0" t="0" r="762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62880" cy="2517140"/>
                    </a:xfrm>
                    <a:prstGeom prst="rect">
                      <a:avLst/>
                    </a:prstGeom>
                    <a:noFill/>
                    <a:ln>
                      <a:noFill/>
                    </a:ln>
                  </pic:spPr>
                </pic:pic>
              </a:graphicData>
            </a:graphic>
          </wp:inline>
        </w:drawing>
      </w:r>
    </w:p>
    <w:p>
      <w:pPr>
        <w:numPr>
          <w:ilvl w:val="0"/>
          <w:numId w:val="4"/>
        </w:numPr>
        <w:ind w:left="0" w:leftChars="0" w:firstLine="0" w:firstLineChars="0"/>
        <w:rPr>
          <w:rFonts w:hint="default"/>
          <w:lang w:val="en-US" w:eastAsia="zh-CN"/>
        </w:rPr>
      </w:pPr>
      <w:r>
        <w:rPr>
          <w:rFonts w:hint="eastAsia"/>
          <w:lang w:val="en-US" w:eastAsia="zh-CN"/>
        </w:rPr>
        <w:t>修改/删除毕设方向</w:t>
      </w:r>
    </w:p>
    <w:p>
      <w:pPr>
        <w:numPr>
          <w:ilvl w:val="0"/>
          <w:numId w:val="0"/>
        </w:numPr>
        <w:ind w:leftChars="0" w:firstLine="420" w:firstLineChars="0"/>
        <w:rPr>
          <w:rFonts w:hint="eastAsia"/>
          <w:lang w:val="en-US" w:eastAsia="zh-CN"/>
        </w:rPr>
      </w:pPr>
      <w:r>
        <w:rPr>
          <w:rFonts w:hint="eastAsia"/>
          <w:lang w:val="en-US" w:eastAsia="zh-CN"/>
        </w:rPr>
        <w:t>指导教师申报的毕设方向在课程负责人初审前可以修改，不影响审核流程。若当前毕设方向已复审通过，指导教师修改毕设方向后该毕设方向将重新进入审核流程。除初审前、复审通过后两种审核状态外，其余审核状态下指导教师无法修改该毕设方向。</w:t>
      </w:r>
    </w:p>
    <w:p>
      <w:pPr>
        <w:numPr>
          <w:ilvl w:val="0"/>
          <w:numId w:val="0"/>
        </w:numPr>
        <w:ind w:firstLine="420" w:firstLineChars="0"/>
        <w:rPr>
          <w:rFonts w:hint="eastAsia"/>
          <w:lang w:val="en-US" w:eastAsia="zh-CN"/>
        </w:rPr>
      </w:pPr>
      <w:r>
        <w:rPr>
          <w:rFonts w:hint="eastAsia"/>
          <w:lang w:val="en-US" w:eastAsia="zh-CN"/>
        </w:rPr>
        <w:t>指导教师申报的毕设方向中，已通过初审的毕设方向将无法删除。删除毕设方向时，将进行二次确认，请谨慎操作！</w:t>
      </w:r>
    </w:p>
    <w:p>
      <w:pPr>
        <w:numPr>
          <w:ilvl w:val="0"/>
          <w:numId w:val="0"/>
        </w:numPr>
      </w:pPr>
      <w:r>
        <w:drawing>
          <wp:inline distT="0" distB="0" distL="114300" distR="114300">
            <wp:extent cx="5267960" cy="2748280"/>
            <wp:effectExtent l="0" t="0" r="254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7960" cy="2748280"/>
                    </a:xfrm>
                    <a:prstGeom prst="rect">
                      <a:avLst/>
                    </a:prstGeom>
                    <a:noFill/>
                    <a:ln>
                      <a:noFill/>
                    </a:ln>
                  </pic:spPr>
                </pic:pic>
              </a:graphicData>
            </a:graphic>
          </wp:inline>
        </w:drawing>
      </w:r>
    </w:p>
    <w:p>
      <w:pPr>
        <w:pStyle w:val="2"/>
        <w:bidi w:val="0"/>
        <w:rPr>
          <w:rFonts w:hint="default"/>
          <w:lang w:val="en-US" w:eastAsia="zh-CN"/>
        </w:rPr>
      </w:pPr>
      <w:bookmarkStart w:id="6" w:name="_Toc3947"/>
      <w:r>
        <w:rPr>
          <w:rFonts w:hint="eastAsia"/>
          <w:lang w:val="en-US" w:eastAsia="zh-CN"/>
        </w:rPr>
        <w:t>毕设批次环节</w:t>
      </w:r>
      <w:bookmarkEnd w:id="6"/>
    </w:p>
    <w:p>
      <w:pPr>
        <w:rPr>
          <w:rFonts w:hint="eastAsia"/>
          <w:lang w:val="en-US" w:eastAsia="zh-CN"/>
        </w:rPr>
      </w:pPr>
      <w:r>
        <w:rPr>
          <w:rFonts w:hint="eastAsia"/>
          <w:lang w:val="en-US" w:eastAsia="zh-CN"/>
        </w:rPr>
        <w:t>毕设批次发布后，教师可在教学平台课程页面的顶部点击“去毕设平台”按钮即可跳转至毕设平台。指导教师可在毕设平台查看完整毕设批次环节信息，课程负责人则可针对初评环节各个阶段指定详细的截止、提交次数、成绩占比等考核要求。</w:t>
      </w:r>
    </w:p>
    <w:p>
      <w:pPr>
        <w:numPr>
          <w:ilvl w:val="0"/>
          <w:numId w:val="5"/>
        </w:numPr>
        <w:ind w:left="0" w:leftChars="0" w:firstLine="0" w:firstLineChars="0"/>
        <w:rPr>
          <w:rFonts w:hint="eastAsia"/>
          <w:lang w:val="en-US" w:eastAsia="zh-CN"/>
        </w:rPr>
      </w:pPr>
      <w:r>
        <w:rPr>
          <w:rFonts w:hint="eastAsia"/>
          <w:lang w:val="en-US" w:eastAsia="zh-CN"/>
        </w:rPr>
        <w:t>查看毕设批次</w:t>
      </w:r>
    </w:p>
    <w:p>
      <w:pPr>
        <w:numPr>
          <w:ilvl w:val="0"/>
          <w:numId w:val="0"/>
        </w:numPr>
        <w:ind w:leftChars="0" w:firstLine="420" w:firstLineChars="0"/>
        <w:rPr>
          <w:rFonts w:hint="eastAsia"/>
          <w:lang w:val="en-US" w:eastAsia="zh-CN"/>
        </w:rPr>
      </w:pPr>
      <w:r>
        <w:rPr>
          <w:rFonts w:hint="eastAsia"/>
          <w:lang w:val="en-US" w:eastAsia="zh-CN"/>
        </w:rPr>
        <w:t>在毕设批次环节界面可以查看当前批次下已发布的毕设批次环节信息和任务书，教师可根据各个阶段的起止时间和毕设安排有效调整教学进度。</w:t>
      </w:r>
    </w:p>
    <w:p>
      <w:pPr>
        <w:numPr>
          <w:ilvl w:val="0"/>
          <w:numId w:val="0"/>
        </w:numPr>
      </w:pPr>
      <w:r>
        <w:drawing>
          <wp:inline distT="0" distB="0" distL="114300" distR="114300">
            <wp:extent cx="5269865" cy="2465070"/>
            <wp:effectExtent l="0" t="0" r="63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9865" cy="2465070"/>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266055" cy="1173480"/>
            <wp:effectExtent l="0" t="0" r="444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6055" cy="1173480"/>
                    </a:xfrm>
                    <a:prstGeom prst="rect">
                      <a:avLst/>
                    </a:prstGeom>
                    <a:noFill/>
                    <a:ln>
                      <a:noFill/>
                    </a:ln>
                  </pic:spPr>
                </pic:pic>
              </a:graphicData>
            </a:graphic>
          </wp:inline>
        </w:drawing>
      </w:r>
    </w:p>
    <w:p>
      <w:pPr>
        <w:numPr>
          <w:ilvl w:val="0"/>
          <w:numId w:val="5"/>
        </w:numPr>
        <w:ind w:left="0" w:leftChars="0" w:firstLine="0" w:firstLineChars="0"/>
        <w:rPr>
          <w:rFonts w:hint="default"/>
          <w:lang w:val="en-US" w:eastAsia="zh-CN"/>
        </w:rPr>
      </w:pPr>
      <w:r>
        <w:rPr>
          <w:rFonts w:hint="eastAsia"/>
          <w:lang w:val="en-US" w:eastAsia="zh-CN"/>
        </w:rPr>
        <w:t>修改初评信息（仅供课程负责人）</w:t>
      </w:r>
    </w:p>
    <w:p>
      <w:pPr>
        <w:numPr>
          <w:ilvl w:val="0"/>
          <w:numId w:val="0"/>
        </w:numPr>
        <w:ind w:leftChars="0" w:firstLine="420" w:firstLineChars="0"/>
        <w:rPr>
          <w:rFonts w:hint="default"/>
          <w:lang w:val="en-US" w:eastAsia="zh-CN"/>
        </w:rPr>
      </w:pPr>
      <w:r>
        <w:rPr>
          <w:rFonts w:hint="eastAsia"/>
          <w:lang w:val="en-US" w:eastAsia="zh-CN"/>
        </w:rPr>
        <w:t>课程负责人在当前页面还可以调整初评环节各个阶段的提交/延期提交时间、提交次数和阶段成绩占比，并上传该毕设批次的任务书。</w:t>
      </w:r>
    </w:p>
    <w:p>
      <w:pPr>
        <w:ind w:left="0" w:leftChars="0" w:firstLine="0" w:firstLineChars="0"/>
      </w:pPr>
      <w:r>
        <w:drawing>
          <wp:inline distT="0" distB="0" distL="114300" distR="114300">
            <wp:extent cx="5273040" cy="2504440"/>
            <wp:effectExtent l="0" t="0" r="10160"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273040" cy="2504440"/>
                    </a:xfrm>
                    <a:prstGeom prst="rect">
                      <a:avLst/>
                    </a:prstGeom>
                    <a:noFill/>
                    <a:ln>
                      <a:noFill/>
                    </a:ln>
                  </pic:spPr>
                </pic:pic>
              </a:graphicData>
            </a:graphic>
          </wp:inline>
        </w:drawing>
      </w:r>
    </w:p>
    <w:p>
      <w:pPr>
        <w:pStyle w:val="2"/>
        <w:bidi w:val="0"/>
      </w:pPr>
      <w:bookmarkStart w:id="7" w:name="_Toc30662"/>
      <w:r>
        <w:rPr>
          <w:rFonts w:hint="eastAsia"/>
          <w:lang w:val="en-US" w:eastAsia="zh-CN"/>
        </w:rPr>
        <w:t>分配选题和教师（仅供课程负责人）</w:t>
      </w:r>
      <w:bookmarkEnd w:id="7"/>
    </w:p>
    <w:p>
      <w:pPr>
        <w:rPr>
          <w:rFonts w:hint="eastAsia"/>
          <w:lang w:val="en-US" w:eastAsia="zh-CN"/>
        </w:rPr>
      </w:pPr>
      <w:r>
        <w:rPr>
          <w:rFonts w:hint="eastAsia"/>
          <w:lang w:val="en-US" w:eastAsia="zh-CN"/>
        </w:rPr>
        <w:t>选题环节开始后，课程负责人可在教学平台课程页面的顶部点击“去毕设平台”按钮即可跳转至毕设平台查看具体选题信息。</w:t>
      </w:r>
    </w:p>
    <w:p>
      <w:pPr>
        <w:ind w:left="0" w:leftChars="0" w:firstLine="420" w:firstLineChars="0"/>
        <w:rPr>
          <w:rFonts w:hint="default"/>
          <w:lang w:val="en-US" w:eastAsia="zh-CN"/>
        </w:rPr>
      </w:pPr>
      <w:r>
        <w:rPr>
          <w:rFonts w:hint="eastAsia"/>
          <w:lang w:val="en-US" w:eastAsia="zh-CN"/>
        </w:rPr>
        <w:t>在毕设平台分配选题与教师页面，可查询学生的选题和教师分配情况并导出查询结果，点击毕设方向还可查看毕设方向详情。此页面仅课程负责人可对学生选题和教师分配进行管理。课程负责人可通过不同筛选项的设置，查看不同情况下的学生选题名单。</w:t>
      </w:r>
    </w:p>
    <w:p>
      <w:pPr>
        <w:ind w:left="0" w:leftChars="0" w:firstLine="0" w:firstLineChars="0"/>
      </w:pPr>
      <w:r>
        <w:drawing>
          <wp:inline distT="0" distB="0" distL="114300" distR="114300">
            <wp:extent cx="5271770" cy="2582545"/>
            <wp:effectExtent l="0" t="0" r="11430" b="825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21"/>
                    <a:stretch>
                      <a:fillRect/>
                    </a:stretch>
                  </pic:blipFill>
                  <pic:spPr>
                    <a:xfrm>
                      <a:off x="0" y="0"/>
                      <a:ext cx="5271770" cy="2582545"/>
                    </a:xfrm>
                    <a:prstGeom prst="rect">
                      <a:avLst/>
                    </a:prstGeom>
                    <a:noFill/>
                    <a:ln>
                      <a:noFill/>
                    </a:ln>
                  </pic:spPr>
                </pic:pic>
              </a:graphicData>
            </a:graphic>
          </wp:inline>
        </w:drawing>
      </w:r>
    </w:p>
    <w:p>
      <w:pPr>
        <w:numPr>
          <w:ilvl w:val="0"/>
          <w:numId w:val="6"/>
        </w:numPr>
        <w:ind w:left="0" w:leftChars="0" w:firstLine="0" w:firstLineChars="0"/>
        <w:rPr>
          <w:rFonts w:hint="eastAsia"/>
          <w:lang w:val="en-US" w:eastAsia="zh-CN"/>
        </w:rPr>
      </w:pPr>
      <w:r>
        <w:rPr>
          <w:rFonts w:hint="eastAsia"/>
          <w:lang w:val="en-US" w:eastAsia="zh-CN"/>
        </w:rPr>
        <w:t>自动分配</w:t>
      </w:r>
    </w:p>
    <w:p>
      <w:pPr>
        <w:numPr>
          <w:ilvl w:val="0"/>
          <w:numId w:val="0"/>
        </w:numPr>
        <w:ind w:leftChars="0" w:firstLine="420" w:firstLineChars="0"/>
        <w:rPr>
          <w:rFonts w:hint="eastAsia"/>
          <w:lang w:val="en-US" w:eastAsia="zh-CN"/>
        </w:rPr>
      </w:pPr>
      <w:r>
        <w:rPr>
          <w:rFonts w:hint="eastAsia"/>
          <w:lang w:val="en-US" w:eastAsia="zh-CN"/>
        </w:rPr>
        <w:t>点击自动分配按钮即可显示当前毕设批次下自拟选题未分配指导教师人数、未选题人数、剩余指导教师和剩余可选题人数指标等信息，并告知自动分配后剩余多少名学生将无法分配指导教师，需要再手动分配（见（2）手动分配）。</w:t>
      </w:r>
    </w:p>
    <w:p>
      <w:pPr>
        <w:numPr>
          <w:ilvl w:val="0"/>
          <w:numId w:val="0"/>
        </w:numPr>
        <w:ind w:leftChars="0" w:firstLine="420" w:firstLineChars="0"/>
        <w:rPr>
          <w:rFonts w:hint="eastAsia"/>
          <w:lang w:val="en-US" w:eastAsia="zh-CN"/>
        </w:rPr>
      </w:pPr>
      <w:r>
        <w:rPr>
          <w:rFonts w:hint="eastAsia"/>
          <w:lang w:val="en-US" w:eastAsia="zh-CN"/>
        </w:rPr>
        <w:t>自动分配遵循同一教学点的学生优先分配给本教学点的指导教师原则，若该教师的指导学生人数已达上限，则后续学生自动分配给其他教师。同时，同一学生的指导教师和评阅不能是同一个人。</w:t>
      </w:r>
    </w:p>
    <w:p>
      <w:pPr>
        <w:pStyle w:val="25"/>
        <w:bidi w:val="0"/>
        <w:rPr>
          <w:rFonts w:hint="eastAsia"/>
          <w:lang w:val="en-US" w:eastAsia="zh-CN"/>
        </w:rPr>
      </w:pPr>
      <w:r>
        <w:rPr>
          <w:rFonts w:hint="eastAsia"/>
          <w:lang w:val="en-US" w:eastAsia="zh-CN"/>
        </w:rPr>
        <w:t>注：</w:t>
      </w:r>
    </w:p>
    <w:p>
      <w:pPr>
        <w:pStyle w:val="25"/>
        <w:numPr>
          <w:ilvl w:val="0"/>
          <w:numId w:val="7"/>
        </w:numPr>
        <w:bidi w:val="0"/>
        <w:rPr>
          <w:rFonts w:hint="eastAsia"/>
          <w:lang w:val="en-US" w:eastAsia="zh-CN"/>
        </w:rPr>
      </w:pPr>
      <w:r>
        <w:rPr>
          <w:rFonts w:hint="eastAsia"/>
          <w:lang w:val="en-US" w:eastAsia="zh-CN"/>
        </w:rPr>
        <w:t>若有新的学生选课，可以再次自动分配，不影响已分配的结果；</w:t>
      </w:r>
    </w:p>
    <w:p>
      <w:pPr>
        <w:pStyle w:val="25"/>
        <w:numPr>
          <w:ilvl w:val="0"/>
          <w:numId w:val="7"/>
        </w:numPr>
        <w:bidi w:val="0"/>
        <w:rPr>
          <w:rFonts w:hint="default"/>
          <w:lang w:val="en-US" w:eastAsia="zh-CN"/>
        </w:rPr>
      </w:pPr>
      <w:r>
        <w:rPr>
          <w:rFonts w:hint="eastAsia"/>
          <w:lang w:val="en-US" w:eastAsia="zh-CN"/>
        </w:rPr>
        <w:t>指导教师的分配人数均受上限约束，如果一个教师负责多门课程，则以上限高的为准。</w:t>
      </w:r>
    </w:p>
    <w:p>
      <w:pPr>
        <w:numPr>
          <w:ilvl w:val="0"/>
          <w:numId w:val="0"/>
        </w:numPr>
        <w:rPr>
          <w:rFonts w:hint="default"/>
          <w:lang w:val="en-US" w:eastAsia="zh-CN"/>
        </w:rPr>
      </w:pPr>
      <w:r>
        <w:drawing>
          <wp:inline distT="0" distB="0" distL="114300" distR="114300">
            <wp:extent cx="5262880" cy="2567940"/>
            <wp:effectExtent l="0" t="0" r="7620" b="1016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22"/>
                    <a:stretch>
                      <a:fillRect/>
                    </a:stretch>
                  </pic:blipFill>
                  <pic:spPr>
                    <a:xfrm>
                      <a:off x="0" y="0"/>
                      <a:ext cx="5262880" cy="2567940"/>
                    </a:xfrm>
                    <a:prstGeom prst="rect">
                      <a:avLst/>
                    </a:prstGeom>
                    <a:noFill/>
                    <a:ln>
                      <a:noFill/>
                    </a:ln>
                  </pic:spPr>
                </pic:pic>
              </a:graphicData>
            </a:graphic>
          </wp:inline>
        </w:drawing>
      </w:r>
    </w:p>
    <w:p>
      <w:pPr>
        <w:numPr>
          <w:ilvl w:val="0"/>
          <w:numId w:val="6"/>
        </w:numPr>
        <w:ind w:left="0" w:leftChars="0" w:firstLine="0" w:firstLineChars="0"/>
        <w:rPr>
          <w:rFonts w:hint="default"/>
          <w:lang w:val="en-US" w:eastAsia="zh-CN"/>
        </w:rPr>
      </w:pPr>
      <w:r>
        <w:rPr>
          <w:rFonts w:hint="eastAsia"/>
          <w:lang w:val="en-US" w:eastAsia="zh-CN"/>
        </w:rPr>
        <w:t>手动分配</w:t>
      </w:r>
    </w:p>
    <w:p>
      <w:pPr>
        <w:numPr>
          <w:ilvl w:val="0"/>
          <w:numId w:val="0"/>
        </w:numPr>
        <w:ind w:leftChars="0" w:firstLine="420" w:firstLineChars="0"/>
        <w:rPr>
          <w:rFonts w:hint="eastAsia"/>
          <w:lang w:val="en-US" w:eastAsia="zh-CN"/>
        </w:rPr>
      </w:pPr>
      <w:r>
        <w:rPr>
          <w:rFonts w:hint="eastAsia"/>
          <w:lang w:val="en-US" w:eastAsia="zh-CN"/>
        </w:rPr>
        <w:t>自动分配受教师分配人数上限的约束，会导致部分学生无法分配到指导教师的情况。此时需要课程负责人手动分配该部分学生的指导教师和评阅教师。手动分配时可选择多名学生分配毕设方向、指导教师和评阅教师。手工分配指导教师时，不受教师上限人数限制。</w:t>
      </w:r>
    </w:p>
    <w:p>
      <w:pPr>
        <w:numPr>
          <w:ilvl w:val="0"/>
          <w:numId w:val="0"/>
        </w:numPr>
      </w:pPr>
      <w:r>
        <w:drawing>
          <wp:inline distT="0" distB="0" distL="114300" distR="114300">
            <wp:extent cx="5269230" cy="2590800"/>
            <wp:effectExtent l="0" t="0" r="1270"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3"/>
                    <a:stretch>
                      <a:fillRect/>
                    </a:stretch>
                  </pic:blipFill>
                  <pic:spPr>
                    <a:xfrm>
                      <a:off x="0" y="0"/>
                      <a:ext cx="5269230" cy="2590800"/>
                    </a:xfrm>
                    <a:prstGeom prst="rect">
                      <a:avLst/>
                    </a:prstGeom>
                    <a:noFill/>
                    <a:ln>
                      <a:noFill/>
                    </a:ln>
                  </pic:spPr>
                </pic:pic>
              </a:graphicData>
            </a:graphic>
          </wp:inline>
        </w:drawing>
      </w:r>
    </w:p>
    <w:p>
      <w:pPr>
        <w:pStyle w:val="25"/>
        <w:bidi w:val="0"/>
        <w:rPr>
          <w:rFonts w:hint="default"/>
          <w:lang w:val="en-US" w:eastAsia="zh-CN"/>
        </w:rPr>
      </w:pPr>
      <w:r>
        <w:rPr>
          <w:rFonts w:hint="eastAsia"/>
          <w:lang w:val="en-US" w:eastAsia="zh-CN"/>
        </w:rPr>
        <w:t>注：不能同时为自拟选题和未选题两种状态的学生批量分配指导教师。</w:t>
      </w:r>
    </w:p>
    <w:p>
      <w:pPr>
        <w:pStyle w:val="2"/>
        <w:bidi w:val="0"/>
      </w:pPr>
      <w:bookmarkStart w:id="8" w:name="_Toc13186"/>
      <w:r>
        <w:rPr>
          <w:rFonts w:hint="eastAsia"/>
          <w:lang w:val="en-US" w:eastAsia="zh-CN"/>
        </w:rPr>
        <w:t>选题管理</w:t>
      </w:r>
      <w:bookmarkEnd w:id="8"/>
    </w:p>
    <w:p>
      <w:pPr>
        <w:rPr>
          <w:rFonts w:hint="default"/>
          <w:lang w:val="en-US" w:eastAsia="zh-CN"/>
        </w:rPr>
      </w:pPr>
      <w:r>
        <w:rPr>
          <w:rFonts w:hint="eastAsia"/>
          <w:lang w:val="en-US" w:eastAsia="zh-CN"/>
        </w:rPr>
        <w:t>选题环节开始后，教师可在教学平台课程页面的顶部点击“去毕设平台”按钮，即可跳转至毕设平台审核学生申报的自拟选题。</w:t>
      </w:r>
    </w:p>
    <w:p>
      <w:pPr>
        <w:ind w:left="0" w:leftChars="0" w:firstLine="420" w:firstLineChars="0"/>
        <w:rPr>
          <w:rFonts w:hint="default"/>
          <w:lang w:val="en-US" w:eastAsia="zh-CN"/>
        </w:rPr>
      </w:pPr>
      <w:r>
        <w:rPr>
          <w:rFonts w:hint="eastAsia"/>
          <w:lang w:val="en-US" w:eastAsia="zh-CN"/>
        </w:rPr>
        <w:t>跳转至毕设平台后，若登录用户为指导教师，则可以查看到指导学生的自拟选题名单，若登录用户为课程负责人，则可以查看到所有学生的自拟选题名单。根据筛选项的设置，可以查看不同情况下的学生自拟选题名单。</w:t>
      </w:r>
    </w:p>
    <w:p>
      <w:pPr>
        <w:ind w:left="0" w:leftChars="0" w:firstLine="0" w:firstLineChars="0"/>
        <w:rPr>
          <w:rFonts w:hint="default"/>
          <w:lang w:val="en-US" w:eastAsia="zh-CN"/>
        </w:rPr>
      </w:pPr>
      <w:r>
        <w:drawing>
          <wp:inline distT="0" distB="0" distL="114300" distR="114300">
            <wp:extent cx="5263515" cy="2554605"/>
            <wp:effectExtent l="0" t="0" r="6985" b="1079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24"/>
                    <a:stretch>
                      <a:fillRect/>
                    </a:stretch>
                  </pic:blipFill>
                  <pic:spPr>
                    <a:xfrm>
                      <a:off x="0" y="0"/>
                      <a:ext cx="5263515" cy="2554605"/>
                    </a:xfrm>
                    <a:prstGeom prst="rect">
                      <a:avLst/>
                    </a:prstGeom>
                    <a:noFill/>
                    <a:ln>
                      <a:noFill/>
                    </a:ln>
                  </pic:spPr>
                </pic:pic>
              </a:graphicData>
            </a:graphic>
          </wp:inline>
        </w:drawing>
      </w:r>
    </w:p>
    <w:p>
      <w:pPr>
        <w:numPr>
          <w:ilvl w:val="0"/>
          <w:numId w:val="8"/>
        </w:numPr>
        <w:ind w:left="0" w:leftChars="0" w:firstLine="420" w:firstLineChars="0"/>
        <w:rPr>
          <w:rFonts w:hint="eastAsia"/>
          <w:lang w:val="en-US" w:eastAsia="zh-CN"/>
        </w:rPr>
      </w:pPr>
      <w:r>
        <w:rPr>
          <w:rFonts w:hint="eastAsia"/>
          <w:lang w:val="en-US" w:eastAsia="zh-CN"/>
        </w:rPr>
        <w:t>初审选题（指导教师）</w:t>
      </w:r>
    </w:p>
    <w:p>
      <w:pPr>
        <w:numPr>
          <w:ilvl w:val="0"/>
          <w:numId w:val="0"/>
        </w:numPr>
        <w:ind w:left="420" w:leftChars="0" w:firstLine="420" w:firstLineChars="0"/>
        <w:rPr>
          <w:rFonts w:hint="eastAsia"/>
          <w:lang w:val="en-US" w:eastAsia="zh-CN"/>
        </w:rPr>
      </w:pPr>
      <w:r>
        <w:rPr>
          <w:rFonts w:hint="eastAsia"/>
          <w:lang w:val="en-US" w:eastAsia="zh-CN"/>
        </w:rPr>
        <w:t>指导教师进入选题管理模块将查看到当前教师所指导的学生申报自拟选题的列表，并需要对该自拟选题初审，审核通过后将进入课程负责人处复审。若审核驳回必须填写驳回意见，学生需要再次修改并提交审核，或变更选题方式。</w:t>
      </w:r>
    </w:p>
    <w:p>
      <w:pPr>
        <w:numPr>
          <w:ilvl w:val="0"/>
          <w:numId w:val="0"/>
        </w:numPr>
        <w:rPr>
          <w:rFonts w:hint="default"/>
          <w:lang w:val="en-US" w:eastAsia="zh-CN"/>
        </w:rPr>
      </w:pPr>
      <w:r>
        <w:drawing>
          <wp:inline distT="0" distB="0" distL="114300" distR="114300">
            <wp:extent cx="5271135" cy="2573655"/>
            <wp:effectExtent l="0" t="0" r="12065" b="444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25"/>
                    <a:stretch>
                      <a:fillRect/>
                    </a:stretch>
                  </pic:blipFill>
                  <pic:spPr>
                    <a:xfrm>
                      <a:off x="0" y="0"/>
                      <a:ext cx="5271135" cy="2573655"/>
                    </a:xfrm>
                    <a:prstGeom prst="rect">
                      <a:avLst/>
                    </a:prstGeom>
                    <a:noFill/>
                    <a:ln>
                      <a:noFill/>
                    </a:ln>
                  </pic:spPr>
                </pic:pic>
              </a:graphicData>
            </a:graphic>
          </wp:inline>
        </w:drawing>
      </w:r>
    </w:p>
    <w:p>
      <w:pPr>
        <w:numPr>
          <w:ilvl w:val="0"/>
          <w:numId w:val="8"/>
        </w:numPr>
        <w:ind w:left="0" w:leftChars="0" w:firstLine="420" w:firstLineChars="0"/>
        <w:rPr>
          <w:rFonts w:hint="default"/>
          <w:lang w:val="en-US" w:eastAsia="zh-CN"/>
        </w:rPr>
      </w:pPr>
      <w:r>
        <w:rPr>
          <w:rFonts w:hint="eastAsia"/>
          <w:lang w:val="en-US" w:eastAsia="zh-CN"/>
        </w:rPr>
        <w:t>复审选题（课程负责人）</w:t>
      </w:r>
    </w:p>
    <w:p>
      <w:pPr>
        <w:numPr>
          <w:ilvl w:val="0"/>
          <w:numId w:val="0"/>
        </w:numPr>
        <w:ind w:left="420" w:leftChars="0" w:firstLine="420" w:firstLineChars="0"/>
        <w:rPr>
          <w:rFonts w:hint="eastAsia"/>
          <w:lang w:val="en-US" w:eastAsia="zh-CN"/>
        </w:rPr>
      </w:pPr>
      <w:r>
        <w:rPr>
          <w:rFonts w:hint="eastAsia"/>
          <w:lang w:val="en-US" w:eastAsia="zh-CN"/>
        </w:rPr>
        <w:t>课程负责人可在选题管理页面查看到所有学生提交的自拟选题申请，并需要对通过初审的自拟选题申请复审。复审通过则学生当前批次下的毕设选题为自拟选题，复审驳回则需要学生再次修改并重新提交流程，或变更选题方式。驳回时需要填写驳回意见。</w:t>
      </w:r>
    </w:p>
    <w:p>
      <w:pPr>
        <w:numPr>
          <w:ilvl w:val="0"/>
          <w:numId w:val="0"/>
        </w:numPr>
        <w:ind w:left="420" w:leftChars="0" w:firstLine="420" w:firstLineChars="0"/>
        <w:rPr>
          <w:rFonts w:hint="eastAsia"/>
          <w:lang w:val="en-US" w:eastAsia="zh-CN"/>
        </w:rPr>
      </w:pPr>
      <w:r>
        <w:rPr>
          <w:rFonts w:hint="eastAsia"/>
          <w:lang w:val="en-US" w:eastAsia="zh-CN"/>
        </w:rPr>
        <w:t>课程负责人对初审通过的学生自拟选题申请可批量复审。</w:t>
      </w:r>
    </w:p>
    <w:p>
      <w:pPr>
        <w:numPr>
          <w:ilvl w:val="0"/>
          <w:numId w:val="0"/>
        </w:numPr>
        <w:rPr>
          <w:rFonts w:hint="default"/>
          <w:lang w:val="en-US" w:eastAsia="zh-CN"/>
        </w:rPr>
      </w:pPr>
      <w:r>
        <w:drawing>
          <wp:inline distT="0" distB="0" distL="114300" distR="114300">
            <wp:extent cx="5262880" cy="2567940"/>
            <wp:effectExtent l="0" t="0" r="7620" b="1016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26"/>
                    <a:stretch>
                      <a:fillRect/>
                    </a:stretch>
                  </pic:blipFill>
                  <pic:spPr>
                    <a:xfrm>
                      <a:off x="0" y="0"/>
                      <a:ext cx="5262880" cy="2567940"/>
                    </a:xfrm>
                    <a:prstGeom prst="rect">
                      <a:avLst/>
                    </a:prstGeom>
                    <a:noFill/>
                    <a:ln>
                      <a:noFill/>
                    </a:ln>
                  </pic:spPr>
                </pic:pic>
              </a:graphicData>
            </a:graphic>
          </wp:inline>
        </w:drawing>
      </w:r>
    </w:p>
    <w:p>
      <w:pPr>
        <w:pStyle w:val="2"/>
        <w:bidi w:val="0"/>
        <w:rPr>
          <w:rFonts w:hint="default"/>
          <w:lang w:val="en-US" w:eastAsia="zh-CN"/>
        </w:rPr>
      </w:pPr>
      <w:r>
        <w:rPr>
          <w:rFonts w:hint="eastAsia"/>
          <w:lang w:val="en-US" w:eastAsia="zh-CN"/>
        </w:rPr>
        <w:t>自拟选题管理（仅供课程负责人）</w:t>
      </w:r>
    </w:p>
    <w:p>
      <w:pPr>
        <w:rPr>
          <w:rFonts w:hint="eastAsia"/>
          <w:lang w:val="en-US" w:eastAsia="zh-CN"/>
        </w:rPr>
      </w:pPr>
      <w:r>
        <w:rPr>
          <w:rFonts w:hint="eastAsia"/>
          <w:lang w:val="en-US" w:eastAsia="zh-CN"/>
        </w:rPr>
        <w:t>课程负责人需要对初审通过的自拟选题进行复审，同时在自拟选题管理页面可以对所有上报的自拟选题进行管理。勾选需要复审的自拟选题，并点击批量复审，即可对当前勾选的自拟选题进行审核。</w:t>
      </w:r>
    </w:p>
    <w:p>
      <w:pPr>
        <w:rPr>
          <w:rFonts w:hint="default"/>
          <w:lang w:val="en-US" w:eastAsia="zh-CN"/>
        </w:rPr>
      </w:pPr>
      <w:r>
        <w:rPr>
          <w:rFonts w:hint="eastAsia"/>
          <w:lang w:val="en-US" w:eastAsia="zh-CN"/>
        </w:rPr>
        <w:t>在自拟选题初审前，课程负责人需要在“5.分配选题和教师”功能中为学生分配指导教师，否则该学生的自拟选题将无法初审。</w:t>
      </w:r>
    </w:p>
    <w:p>
      <w:r>
        <w:drawing>
          <wp:inline distT="0" distB="0" distL="114300" distR="114300">
            <wp:extent cx="5270500" cy="2334260"/>
            <wp:effectExtent l="0" t="0" r="0"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7"/>
                    <a:stretch>
                      <a:fillRect/>
                    </a:stretch>
                  </pic:blipFill>
                  <pic:spPr>
                    <a:xfrm>
                      <a:off x="0" y="0"/>
                      <a:ext cx="5270500" cy="2334260"/>
                    </a:xfrm>
                    <a:prstGeom prst="rect">
                      <a:avLst/>
                    </a:prstGeom>
                    <a:noFill/>
                    <a:ln>
                      <a:noFill/>
                    </a:ln>
                  </pic:spPr>
                </pic:pic>
              </a:graphicData>
            </a:graphic>
          </wp:inline>
        </w:drawing>
      </w:r>
    </w:p>
    <w:p>
      <w:pPr>
        <w:rPr>
          <w:rFonts w:hint="default"/>
          <w:lang w:val="en-US" w:eastAsia="zh-CN"/>
        </w:rPr>
      </w:pPr>
    </w:p>
    <w:p>
      <w:pPr>
        <w:pStyle w:val="2"/>
        <w:bidi w:val="0"/>
        <w:rPr>
          <w:rFonts w:hint="default"/>
          <w:lang w:val="en-US" w:eastAsia="zh-CN"/>
        </w:rPr>
      </w:pPr>
      <w:r>
        <w:rPr>
          <w:rFonts w:hint="eastAsia"/>
          <w:lang w:val="en-US" w:eastAsia="zh-CN"/>
        </w:rPr>
        <w:t>论文指导</w:t>
      </w:r>
    </w:p>
    <w:p>
      <w:pPr>
        <w:ind w:left="0" w:leftChars="0" w:firstLine="420" w:firstLineChars="0"/>
        <w:rPr>
          <w:rFonts w:hint="eastAsia"/>
          <w:lang w:val="en-US" w:eastAsia="zh-CN"/>
        </w:rPr>
      </w:pPr>
      <w:r>
        <w:rPr>
          <w:rFonts w:hint="eastAsia"/>
          <w:lang w:val="en-US" w:eastAsia="zh-CN"/>
        </w:rPr>
        <w:t>课程负责人可在毕设批次建立后在论文指导页面上传毕设参考资料。课程负责人上传当前毕设批次下该课程的参考资料后，教师可在毕设平台查看当前毕设课程已上传的参考资料。</w:t>
      </w:r>
    </w:p>
    <w:p>
      <w:pPr>
        <w:ind w:left="0" w:leftChars="0" w:firstLine="0" w:firstLineChars="0"/>
      </w:pPr>
      <w:r>
        <w:drawing>
          <wp:inline distT="0" distB="0" distL="114300" distR="114300">
            <wp:extent cx="5271770" cy="2549525"/>
            <wp:effectExtent l="0" t="0" r="11430"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8"/>
                    <a:stretch>
                      <a:fillRect/>
                    </a:stretch>
                  </pic:blipFill>
                  <pic:spPr>
                    <a:xfrm>
                      <a:off x="0" y="0"/>
                      <a:ext cx="5271770" cy="2549525"/>
                    </a:xfrm>
                    <a:prstGeom prst="rect">
                      <a:avLst/>
                    </a:prstGeom>
                    <a:noFill/>
                    <a:ln>
                      <a:noFill/>
                    </a:ln>
                  </pic:spPr>
                </pic:pic>
              </a:graphicData>
            </a:graphic>
          </wp:inline>
        </w:drawing>
      </w:r>
    </w:p>
    <w:p>
      <w:pPr>
        <w:pStyle w:val="2"/>
        <w:bidi w:val="0"/>
        <w:rPr>
          <w:rFonts w:hint="default"/>
          <w:lang w:val="en-US" w:eastAsia="zh-CN"/>
        </w:rPr>
      </w:pPr>
      <w:bookmarkStart w:id="9" w:name="_Toc7273"/>
      <w:r>
        <w:rPr>
          <w:rFonts w:hint="eastAsia"/>
          <w:lang w:val="en-US" w:eastAsia="zh-CN"/>
        </w:rPr>
        <w:t>批阅初评稿件</w:t>
      </w:r>
      <w:bookmarkEnd w:id="9"/>
    </w:p>
    <w:p>
      <w:pPr>
        <w:rPr>
          <w:rFonts w:hint="default"/>
          <w:lang w:val="en-US" w:eastAsia="zh-CN"/>
        </w:rPr>
      </w:pPr>
      <w:r>
        <w:rPr>
          <w:rFonts w:hint="eastAsia"/>
          <w:lang w:val="en-US" w:eastAsia="zh-CN"/>
        </w:rPr>
        <w:t>初评环节开始后，教师可在教学平台课程页面的顶部点击“去毕设平台”按钮即可跳转至毕设平台的初评阶段查看详细批阅情况。</w:t>
      </w:r>
    </w:p>
    <w:p>
      <w:pPr>
        <w:ind w:left="0" w:leftChars="0" w:firstLine="420" w:firstLineChars="0"/>
        <w:rPr>
          <w:rFonts w:hint="default"/>
          <w:lang w:val="en-US" w:eastAsia="zh-CN"/>
        </w:rPr>
      </w:pPr>
      <w:r>
        <w:rPr>
          <w:rFonts w:hint="eastAsia"/>
          <w:lang w:val="en-US" w:eastAsia="zh-CN"/>
        </w:rPr>
        <w:t>跳转至毕设平台后，在批阅界面教师可以查看到自己指导或负责的学生稿件信息。若登录用户为指导教师，则教师只能查看自己指导的学生稿件信息，若登录用户为课程负责人，则可以通过筛选指导教师查看所有学生的稿件信息。</w:t>
      </w:r>
    </w:p>
    <w:p>
      <w:pPr>
        <w:ind w:left="0" w:leftChars="0" w:firstLine="420" w:firstLineChars="0"/>
        <w:rPr>
          <w:rFonts w:hint="default"/>
          <w:lang w:val="en-US" w:eastAsia="zh-CN"/>
        </w:rPr>
      </w:pPr>
      <w:r>
        <w:rPr>
          <w:rFonts w:hint="eastAsia"/>
          <w:lang w:val="en-US" w:eastAsia="zh-CN"/>
        </w:rPr>
        <w:t>点击进入可以查看学生提交稿件的情况。同时点击毕设方向也可以查看到毕设方向的详情，便于教师更便捷的批阅学生稿件。初评环节中，开题报告和初稿批阅仅为通过与不通过，学生在该阶段获得通过才能进入下一步写作提交。终稿环节批阅的分数将作为学生初评环节的最终分数。</w:t>
      </w:r>
    </w:p>
    <w:p>
      <w:pPr>
        <w:ind w:left="0" w:leftChars="0" w:firstLine="420" w:firstLineChars="0"/>
        <w:rPr>
          <w:rFonts w:hint="eastAsia"/>
          <w:lang w:val="en-US" w:eastAsia="zh-CN"/>
        </w:rPr>
      </w:pPr>
      <w:r>
        <w:rPr>
          <w:rFonts w:hint="eastAsia"/>
          <w:lang w:val="en-US" w:eastAsia="zh-CN"/>
        </w:rPr>
        <w:t>学生上传的稿件教师有两次批阅的次数，批阅记录会同步保存。</w:t>
      </w:r>
    </w:p>
    <w:p>
      <w:pPr>
        <w:ind w:left="0" w:leftChars="0" w:firstLine="0" w:firstLineChars="0"/>
      </w:pPr>
      <w:r>
        <w:drawing>
          <wp:inline distT="0" distB="0" distL="114300" distR="114300">
            <wp:extent cx="5271770" cy="2463800"/>
            <wp:effectExtent l="0" t="0" r="11430"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29"/>
                    <a:stretch>
                      <a:fillRect/>
                    </a:stretch>
                  </pic:blipFill>
                  <pic:spPr>
                    <a:xfrm>
                      <a:off x="0" y="0"/>
                      <a:ext cx="5271770" cy="2463800"/>
                    </a:xfrm>
                    <a:prstGeom prst="rect">
                      <a:avLst/>
                    </a:prstGeom>
                    <a:noFill/>
                    <a:ln>
                      <a:noFill/>
                    </a:ln>
                  </pic:spPr>
                </pic:pic>
              </a:graphicData>
            </a:graphic>
          </wp:inline>
        </w:drawing>
      </w:r>
    </w:p>
    <w:p>
      <w:pPr>
        <w:ind w:left="0" w:leftChars="0" w:firstLine="0" w:firstLineChars="0"/>
      </w:pPr>
    </w:p>
    <w:p>
      <w:pPr>
        <w:pStyle w:val="25"/>
        <w:bidi w:val="0"/>
        <w:rPr>
          <w:rFonts w:hint="eastAsia"/>
          <w:lang w:val="en-US" w:eastAsia="zh-CN"/>
        </w:rPr>
      </w:pPr>
      <w:r>
        <w:rPr>
          <w:rFonts w:hint="eastAsia"/>
          <w:lang w:val="en-US" w:eastAsia="zh-CN"/>
        </w:rPr>
        <w:t>注：</w:t>
      </w:r>
    </w:p>
    <w:p>
      <w:pPr>
        <w:pStyle w:val="25"/>
        <w:numPr>
          <w:ilvl w:val="0"/>
          <w:numId w:val="9"/>
        </w:numPr>
        <w:bidi w:val="0"/>
        <w:rPr>
          <w:rFonts w:hint="eastAsia"/>
          <w:lang w:val="en-US" w:eastAsia="zh-CN"/>
        </w:rPr>
      </w:pPr>
      <w:r>
        <w:rPr>
          <w:rFonts w:hint="eastAsia"/>
          <w:lang w:val="en-US" w:eastAsia="zh-CN"/>
        </w:rPr>
        <w:t>指导教师只能看到自己的学生，课程负责人默认查看自己负责指导的学生，但可根据“指导教师”查询项筛选所有学生；</w:t>
      </w:r>
    </w:p>
    <w:p>
      <w:pPr>
        <w:pStyle w:val="25"/>
        <w:numPr>
          <w:ilvl w:val="0"/>
          <w:numId w:val="9"/>
        </w:numPr>
        <w:bidi w:val="0"/>
        <w:rPr>
          <w:rFonts w:hint="default"/>
          <w:lang w:val="en-US" w:eastAsia="zh-CN"/>
        </w:rPr>
      </w:pPr>
      <w:r>
        <w:rPr>
          <w:rFonts w:hint="default"/>
          <w:lang w:val="en-US" w:eastAsia="zh-CN"/>
        </w:rPr>
        <w:t>阶段默认显示当前阶段，延期提交时间不算在内，如果当前时间不处于任何一个阶段，则显示全部；</w:t>
      </w:r>
    </w:p>
    <w:p>
      <w:pPr>
        <w:numPr>
          <w:ilvl w:val="0"/>
          <w:numId w:val="0"/>
        </w:numPr>
        <w:bidi w:val="0"/>
        <w:rPr>
          <w:rFonts w:hint="eastAsia"/>
          <w:lang w:val="en-US" w:eastAsia="zh-CN"/>
        </w:rPr>
      </w:pPr>
      <w:r>
        <w:rPr>
          <w:rFonts w:hint="eastAsia"/>
          <w:lang w:val="en-US" w:eastAsia="zh-CN"/>
        </w:rPr>
        <w:t>（1）批阅待批阅稿件</w:t>
      </w:r>
    </w:p>
    <w:p>
      <w:pPr>
        <w:numPr>
          <w:ilvl w:val="0"/>
          <w:numId w:val="0"/>
        </w:numPr>
        <w:bidi w:val="0"/>
        <w:ind w:firstLine="420" w:firstLineChars="0"/>
        <w:rPr>
          <w:rFonts w:hint="eastAsia"/>
          <w:lang w:val="en-US" w:eastAsia="zh-CN"/>
        </w:rPr>
      </w:pPr>
      <w:r>
        <w:rPr>
          <w:rFonts w:hint="eastAsia"/>
          <w:lang w:val="en-US" w:eastAsia="zh-CN"/>
        </w:rPr>
        <w:t>学生提交的待批阅稿件点击“进入”后，查看到该学生上传的初评阶段稿件信息和辅助材料，教师需要在当前界面填写评分、评语或上传批阅文件。</w:t>
      </w:r>
    </w:p>
    <w:p>
      <w:pPr>
        <w:numPr>
          <w:ilvl w:val="0"/>
          <w:numId w:val="0"/>
        </w:numPr>
        <w:bidi w:val="0"/>
        <w:rPr>
          <w:rFonts w:hint="default"/>
          <w:lang w:val="en-US" w:eastAsia="zh-CN"/>
        </w:rPr>
      </w:pPr>
      <w:r>
        <w:drawing>
          <wp:inline distT="0" distB="0" distL="114300" distR="114300">
            <wp:extent cx="5271135" cy="2510155"/>
            <wp:effectExtent l="0" t="0" r="12065"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0"/>
                    <a:stretch>
                      <a:fillRect/>
                    </a:stretch>
                  </pic:blipFill>
                  <pic:spPr>
                    <a:xfrm>
                      <a:off x="0" y="0"/>
                      <a:ext cx="5271135" cy="2510155"/>
                    </a:xfrm>
                    <a:prstGeom prst="rect">
                      <a:avLst/>
                    </a:prstGeom>
                    <a:noFill/>
                    <a:ln>
                      <a:noFill/>
                    </a:ln>
                  </pic:spPr>
                </pic:pic>
              </a:graphicData>
            </a:graphic>
          </wp:inline>
        </w:drawing>
      </w:r>
    </w:p>
    <w:p>
      <w:pPr>
        <w:numPr>
          <w:ilvl w:val="0"/>
          <w:numId w:val="0"/>
        </w:numPr>
        <w:bidi w:val="0"/>
        <w:rPr>
          <w:rFonts w:hint="default"/>
          <w:lang w:val="en-US" w:eastAsia="zh-CN"/>
        </w:rPr>
      </w:pPr>
      <w:r>
        <w:rPr>
          <w:rFonts w:hint="eastAsia"/>
          <w:lang w:val="en-US" w:eastAsia="zh-CN"/>
        </w:rPr>
        <w:t>（2）查看/修改已批阅稿件</w:t>
      </w:r>
    </w:p>
    <w:p>
      <w:pPr>
        <w:bidi w:val="0"/>
        <w:rPr>
          <w:rFonts w:hint="eastAsia"/>
          <w:lang w:val="en-US" w:eastAsia="zh-CN"/>
        </w:rPr>
      </w:pPr>
      <w:r>
        <w:rPr>
          <w:rFonts w:hint="eastAsia"/>
          <w:lang w:val="en-US" w:eastAsia="zh-CN"/>
        </w:rPr>
        <w:t>已批阅的稿件点击“进入”后，可以查到看上次批阅的详情，根据教师评分变化修改学生批阅的成绩。教师修改批阅成绩有次数限制，并记录每次成绩修改的内容。</w:t>
      </w:r>
    </w:p>
    <w:p>
      <w:pPr>
        <w:bidi w:val="0"/>
        <w:ind w:left="0" w:leftChars="0" w:firstLine="0" w:firstLineChars="0"/>
      </w:pPr>
      <w:r>
        <w:drawing>
          <wp:inline distT="0" distB="0" distL="114300" distR="114300">
            <wp:extent cx="5270500" cy="2728595"/>
            <wp:effectExtent l="0" t="0" r="0" b="19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1"/>
                    <a:stretch>
                      <a:fillRect/>
                    </a:stretch>
                  </pic:blipFill>
                  <pic:spPr>
                    <a:xfrm>
                      <a:off x="0" y="0"/>
                      <a:ext cx="5270500" cy="2728595"/>
                    </a:xfrm>
                    <a:prstGeom prst="rect">
                      <a:avLst/>
                    </a:prstGeom>
                    <a:noFill/>
                    <a:ln>
                      <a:noFill/>
                    </a:ln>
                  </pic:spPr>
                </pic:pic>
              </a:graphicData>
            </a:graphic>
          </wp:inline>
        </w:drawing>
      </w:r>
    </w:p>
    <w:p>
      <w:pPr>
        <w:pStyle w:val="25"/>
        <w:bidi w:val="0"/>
        <w:rPr>
          <w:rFonts w:hint="default"/>
          <w:lang w:val="en-US" w:eastAsia="zh-CN"/>
        </w:rPr>
      </w:pPr>
      <w:r>
        <w:rPr>
          <w:rFonts w:hint="eastAsia"/>
          <w:lang w:val="en-US" w:eastAsia="zh-CN"/>
        </w:rPr>
        <w:t>注：多次批阅最终取最新一次成绩为准。</w:t>
      </w:r>
    </w:p>
    <w:p>
      <w:pPr>
        <w:pStyle w:val="2"/>
        <w:bidi w:val="0"/>
        <w:rPr>
          <w:rFonts w:hint="eastAsia"/>
          <w:lang w:val="en-US" w:eastAsia="zh-CN"/>
        </w:rPr>
      </w:pPr>
      <w:bookmarkStart w:id="10" w:name="_Toc3048"/>
      <w:r>
        <w:rPr>
          <w:rFonts w:hint="eastAsia"/>
          <w:lang w:val="en-US" w:eastAsia="zh-CN"/>
        </w:rPr>
        <w:t>评阅管理</w:t>
      </w:r>
      <w:bookmarkEnd w:id="10"/>
    </w:p>
    <w:p>
      <w:pPr>
        <w:rPr>
          <w:rFonts w:hint="eastAsia"/>
          <w:lang w:val="en-US" w:eastAsia="zh-CN"/>
        </w:rPr>
      </w:pPr>
      <w:r>
        <w:rPr>
          <w:rFonts w:hint="eastAsia"/>
          <w:lang w:val="en-US" w:eastAsia="zh-CN"/>
        </w:rPr>
        <w:t>初评环节截止后，评阅教师可在教学平台课程页面的顶部点击“去毕设平台”按钮即可跳转至毕设平台进行评阅相关的工作。</w:t>
      </w:r>
    </w:p>
    <w:p>
      <w:pPr>
        <w:ind w:left="0" w:leftChars="0" w:firstLine="420" w:firstLineChars="0"/>
        <w:rPr>
          <w:rFonts w:hint="eastAsia"/>
          <w:lang w:val="en-US" w:eastAsia="zh-CN"/>
        </w:rPr>
      </w:pPr>
      <w:r>
        <w:rPr>
          <w:rFonts w:hint="eastAsia"/>
          <w:lang w:val="en-US" w:eastAsia="zh-CN"/>
        </w:rPr>
        <w:t>毕设平台评阅管理模块，根据登录用户不同，默认展示的数据也有所不同。登录用户为课程负责人时，默认显示由课程负责人负责评阅的学生列表。同时，课程负责人也可根据“评阅教师”筛选查看所有学生的评阅情况。登录用户为评阅教师时，则只能显示当前用户的学生。</w:t>
      </w:r>
    </w:p>
    <w:p>
      <w:pPr>
        <w:ind w:left="0" w:leftChars="0" w:firstLine="420" w:firstLineChars="0"/>
        <w:rPr>
          <w:rFonts w:hint="eastAsia"/>
          <w:lang w:val="en-US" w:eastAsia="zh-CN"/>
        </w:rPr>
      </w:pPr>
      <w:r>
        <w:rPr>
          <w:rFonts w:hint="eastAsia"/>
          <w:lang w:val="en-US" w:eastAsia="zh-CN"/>
        </w:rPr>
        <w:t>点击“进入”即可查看或评阅学生上传的终稿稿件详情。点击“查看”即可查看该生整个初评阶段的稿件信息。</w:t>
      </w:r>
    </w:p>
    <w:p>
      <w:pPr>
        <w:ind w:left="0" w:leftChars="0" w:firstLine="0" w:firstLineChars="0"/>
      </w:pPr>
      <w:r>
        <w:drawing>
          <wp:inline distT="0" distB="0" distL="114300" distR="114300">
            <wp:extent cx="5271770" cy="2411730"/>
            <wp:effectExtent l="0" t="0" r="11430" b="1270"/>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32"/>
                    <a:stretch>
                      <a:fillRect/>
                    </a:stretch>
                  </pic:blipFill>
                  <pic:spPr>
                    <a:xfrm>
                      <a:off x="0" y="0"/>
                      <a:ext cx="5271770" cy="2411730"/>
                    </a:xfrm>
                    <a:prstGeom prst="rect">
                      <a:avLst/>
                    </a:prstGeom>
                    <a:noFill/>
                    <a:ln>
                      <a:noFill/>
                    </a:ln>
                  </pic:spPr>
                </pic:pic>
              </a:graphicData>
            </a:graphic>
          </wp:inline>
        </w:drawing>
      </w:r>
    </w:p>
    <w:p>
      <w:pPr>
        <w:numPr>
          <w:ilvl w:val="0"/>
          <w:numId w:val="10"/>
        </w:numPr>
        <w:ind w:left="0" w:leftChars="0" w:firstLine="0" w:firstLineChars="0"/>
        <w:rPr>
          <w:rFonts w:hint="eastAsia"/>
          <w:lang w:val="en-US" w:eastAsia="zh-CN"/>
        </w:rPr>
      </w:pPr>
      <w:r>
        <w:rPr>
          <w:rFonts w:hint="eastAsia"/>
          <w:lang w:val="en-US" w:eastAsia="zh-CN"/>
        </w:rPr>
        <w:t>评阅稿件</w:t>
      </w:r>
    </w:p>
    <w:p>
      <w:pPr>
        <w:numPr>
          <w:ilvl w:val="0"/>
          <w:numId w:val="0"/>
        </w:numPr>
        <w:ind w:leftChars="0" w:firstLine="420" w:firstLineChars="0"/>
        <w:rPr>
          <w:rFonts w:hint="eastAsia"/>
          <w:lang w:val="en-US" w:eastAsia="zh-CN"/>
        </w:rPr>
      </w:pPr>
      <w:r>
        <w:rPr>
          <w:rFonts w:hint="eastAsia"/>
          <w:lang w:val="en-US" w:eastAsia="zh-CN"/>
        </w:rPr>
        <w:t>进入评阅界面后，将展示学生的终稿以及辅助材料，并在下方显示终稿的查询数据。教师可根据学生提交的稿件、辅助材料以及查重信息进行评阅工作。已评阅过的学生终稿支持一次修改，修改记录将保存至学生该阶段成绩显示中。</w:t>
      </w:r>
    </w:p>
    <w:p>
      <w:pPr>
        <w:numPr>
          <w:ilvl w:val="0"/>
          <w:numId w:val="0"/>
        </w:numPr>
      </w:pPr>
      <w:r>
        <w:drawing>
          <wp:inline distT="0" distB="0" distL="114300" distR="114300">
            <wp:extent cx="5267960" cy="2584450"/>
            <wp:effectExtent l="0" t="0" r="2540" b="6350"/>
            <wp:docPr id="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pic:cNvPicPr>
                      <a:picLocks noChangeAspect="1"/>
                    </pic:cNvPicPr>
                  </pic:nvPicPr>
                  <pic:blipFill>
                    <a:blip r:embed="rId33"/>
                    <a:stretch>
                      <a:fillRect/>
                    </a:stretch>
                  </pic:blipFill>
                  <pic:spPr>
                    <a:xfrm>
                      <a:off x="0" y="0"/>
                      <a:ext cx="5267960" cy="2584450"/>
                    </a:xfrm>
                    <a:prstGeom prst="rect">
                      <a:avLst/>
                    </a:prstGeom>
                    <a:noFill/>
                    <a:ln>
                      <a:noFill/>
                    </a:ln>
                  </pic:spPr>
                </pic:pic>
              </a:graphicData>
            </a:graphic>
          </wp:inline>
        </w:drawing>
      </w:r>
    </w:p>
    <w:p>
      <w:pPr>
        <w:numPr>
          <w:ilvl w:val="0"/>
          <w:numId w:val="0"/>
        </w:numPr>
      </w:pPr>
    </w:p>
    <w:p>
      <w:pPr>
        <w:pStyle w:val="25"/>
        <w:bidi w:val="0"/>
        <w:rPr>
          <w:rFonts w:hint="default"/>
          <w:lang w:val="en-US" w:eastAsia="zh-CN"/>
        </w:rPr>
      </w:pPr>
      <w:r>
        <w:rPr>
          <w:rFonts w:hint="eastAsia"/>
          <w:lang w:val="en-US" w:eastAsia="zh-CN"/>
        </w:rPr>
        <w:t>注：多次批阅最终取最新一次成绩为准。</w:t>
      </w:r>
    </w:p>
    <w:p>
      <w:pPr>
        <w:numPr>
          <w:ilvl w:val="0"/>
          <w:numId w:val="10"/>
        </w:numPr>
        <w:ind w:left="0" w:leftChars="0" w:firstLine="0" w:firstLineChars="0"/>
        <w:rPr>
          <w:rFonts w:hint="default"/>
          <w:lang w:val="en-US" w:eastAsia="zh-CN"/>
        </w:rPr>
      </w:pPr>
      <w:r>
        <w:rPr>
          <w:rFonts w:hint="eastAsia"/>
          <w:lang w:val="en-US" w:eastAsia="zh-CN"/>
        </w:rPr>
        <w:t>查看</w:t>
      </w:r>
    </w:p>
    <w:p>
      <w:pPr>
        <w:numPr>
          <w:ilvl w:val="0"/>
          <w:numId w:val="0"/>
        </w:numPr>
        <w:ind w:leftChars="0" w:firstLine="420" w:firstLineChars="0"/>
        <w:rPr>
          <w:rFonts w:hint="eastAsia"/>
          <w:lang w:val="en-US" w:eastAsia="zh-CN"/>
        </w:rPr>
      </w:pPr>
      <w:r>
        <w:rPr>
          <w:rFonts w:hint="eastAsia"/>
          <w:lang w:val="en-US" w:eastAsia="zh-CN"/>
        </w:rPr>
        <w:t>点击“查看”后将进入学生各阶段稿件、批阅的汇总界面。在当前页面教师可查看该生的信息以及在初评环节的各个阶段稿件和批阅记录。</w:t>
      </w:r>
    </w:p>
    <w:p>
      <w:pPr>
        <w:numPr>
          <w:ilvl w:val="0"/>
          <w:numId w:val="0"/>
        </w:numPr>
        <w:rPr>
          <w:rFonts w:hint="default"/>
          <w:lang w:val="en-US" w:eastAsia="zh-CN"/>
        </w:rPr>
      </w:pPr>
      <w:r>
        <w:drawing>
          <wp:inline distT="0" distB="0" distL="114300" distR="114300">
            <wp:extent cx="5268595" cy="2964180"/>
            <wp:effectExtent l="0" t="0" r="1905" b="762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4"/>
                    <a:stretch>
                      <a:fillRect/>
                    </a:stretch>
                  </pic:blipFill>
                  <pic:spPr>
                    <a:xfrm>
                      <a:off x="0" y="0"/>
                      <a:ext cx="5268595" cy="2964180"/>
                    </a:xfrm>
                    <a:prstGeom prst="rect">
                      <a:avLst/>
                    </a:prstGeom>
                    <a:noFill/>
                    <a:ln>
                      <a:noFill/>
                    </a:ln>
                  </pic:spPr>
                </pic:pic>
              </a:graphicData>
            </a:graphic>
          </wp:inline>
        </w:drawing>
      </w:r>
    </w:p>
    <w:p>
      <w:pPr>
        <w:pStyle w:val="2"/>
        <w:bidi w:val="0"/>
        <w:rPr>
          <w:rFonts w:hint="eastAsia"/>
          <w:lang w:val="en-US" w:eastAsia="zh-CN"/>
        </w:rPr>
      </w:pPr>
      <w:bookmarkStart w:id="11" w:name="_Toc20483"/>
      <w:r>
        <w:rPr>
          <w:rFonts w:hint="eastAsia"/>
          <w:lang w:val="en-US" w:eastAsia="zh-CN"/>
        </w:rPr>
        <w:t>答辩安排</w:t>
      </w:r>
      <w:bookmarkEnd w:id="11"/>
    </w:p>
    <w:p>
      <w:pPr>
        <w:rPr>
          <w:rFonts w:hint="eastAsia"/>
          <w:lang w:val="en-US" w:eastAsia="zh-CN"/>
        </w:rPr>
      </w:pPr>
      <w:r>
        <w:rPr>
          <w:rFonts w:hint="eastAsia"/>
          <w:lang w:val="en-US" w:eastAsia="zh-CN"/>
        </w:rPr>
        <w:t>评阅成绩录入截止时间结束后，将进入答辩环节。在此阶段，教师可在教学平台课程页面的顶部点击“去毕设平台”按钮即可跳转至毕设平台查看详细答辩名单。</w:t>
      </w:r>
    </w:p>
    <w:p>
      <w:pPr>
        <w:ind w:left="0" w:leftChars="0" w:firstLine="420" w:firstLineChars="0"/>
        <w:rPr>
          <w:rFonts w:hint="eastAsia"/>
          <w:lang w:val="en-US" w:eastAsia="zh-CN"/>
        </w:rPr>
      </w:pPr>
      <w:r>
        <w:rPr>
          <w:rFonts w:hint="eastAsia"/>
          <w:lang w:val="en-US" w:eastAsia="zh-CN"/>
        </w:rPr>
        <w:t>跳转至毕设平台后，默认显示当前毕设批次下的答辩小组安排，同时教师也可在上面的主办方、毕设批次筛选框中筛选其他毕设批次查看答辩安排。</w:t>
      </w:r>
    </w:p>
    <w:p>
      <w:pPr>
        <w:ind w:left="0" w:leftChars="0" w:firstLine="420" w:firstLineChars="0"/>
        <w:rPr>
          <w:rFonts w:hint="eastAsia"/>
          <w:lang w:val="en-US" w:eastAsia="zh-CN"/>
        </w:rPr>
      </w:pPr>
      <w:r>
        <w:rPr>
          <w:rFonts w:hint="eastAsia"/>
          <w:lang w:val="en-US" w:eastAsia="zh-CN"/>
        </w:rPr>
        <w:t>答辩小组下面将显示分配给当前教师所在答辩小组的学生答辩名单，教师可通过答辩时间、学习批次等信息进行筛选查看相应的学生名单并选择导出。同时，教师也可通过模板导入当前批次下的学生答辩名单。</w:t>
      </w:r>
    </w:p>
    <w:p>
      <w:pPr>
        <w:ind w:left="0" w:leftChars="0" w:firstLine="0" w:firstLineChars="0"/>
      </w:pPr>
      <w:r>
        <w:drawing>
          <wp:inline distT="0" distB="0" distL="114300" distR="114300">
            <wp:extent cx="5269230" cy="2579370"/>
            <wp:effectExtent l="0" t="0" r="1270" b="11430"/>
            <wp:docPr id="6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pic:cNvPicPr>
                      <a:picLocks noChangeAspect="1"/>
                    </pic:cNvPicPr>
                  </pic:nvPicPr>
                  <pic:blipFill>
                    <a:blip r:embed="rId35"/>
                    <a:stretch>
                      <a:fillRect/>
                    </a:stretch>
                  </pic:blipFill>
                  <pic:spPr>
                    <a:xfrm>
                      <a:off x="0" y="0"/>
                      <a:ext cx="5269230" cy="2579370"/>
                    </a:xfrm>
                    <a:prstGeom prst="rect">
                      <a:avLst/>
                    </a:prstGeom>
                    <a:noFill/>
                    <a:ln>
                      <a:noFill/>
                    </a:ln>
                  </pic:spPr>
                </pic:pic>
              </a:graphicData>
            </a:graphic>
          </wp:inline>
        </w:drawing>
      </w:r>
    </w:p>
    <w:p>
      <w:pPr>
        <w:numPr>
          <w:ilvl w:val="0"/>
          <w:numId w:val="11"/>
        </w:numPr>
        <w:ind w:left="0" w:leftChars="0" w:firstLine="0" w:firstLineChars="0"/>
        <w:rPr>
          <w:rFonts w:hint="eastAsia"/>
          <w:lang w:val="en-US" w:eastAsia="zh-CN"/>
        </w:rPr>
      </w:pPr>
      <w:r>
        <w:rPr>
          <w:rFonts w:hint="eastAsia"/>
          <w:lang w:val="en-US" w:eastAsia="zh-CN"/>
        </w:rPr>
        <w:t>导入答辩成绩（仅供答辩秘书操作）</w:t>
      </w:r>
    </w:p>
    <w:p>
      <w:pPr>
        <w:numPr>
          <w:ilvl w:val="0"/>
          <w:numId w:val="0"/>
        </w:numPr>
        <w:ind w:leftChars="0" w:firstLine="420" w:firstLineChars="0"/>
        <w:rPr>
          <w:rFonts w:hint="eastAsia"/>
          <w:lang w:val="en-US" w:eastAsia="zh-CN"/>
        </w:rPr>
      </w:pPr>
      <w:r>
        <w:rPr>
          <w:rFonts w:hint="eastAsia"/>
          <w:lang w:val="en-US" w:eastAsia="zh-CN"/>
        </w:rPr>
        <w:t>答辩结束之后，教师可在当前页面录入答辩成绩并上传答辩记录表。</w:t>
      </w:r>
    </w:p>
    <w:p>
      <w:pPr>
        <w:pStyle w:val="25"/>
        <w:bidi w:val="0"/>
        <w:rPr>
          <w:rFonts w:hint="default"/>
          <w:lang w:val="en-US" w:eastAsia="zh-CN"/>
        </w:rPr>
      </w:pPr>
      <w:r>
        <w:rPr>
          <w:rFonts w:hint="eastAsia"/>
          <w:lang w:val="en-US" w:eastAsia="zh-CN"/>
        </w:rPr>
        <w:t>注：若该答辩教师为非教师库中选取（指在管理端-教务管理-答辩秘书管理中本地添加的临时答辩教师类型），则在教师端无法导入课程，请在管理端进行导入。</w:t>
      </w:r>
    </w:p>
    <w:p>
      <w:pPr>
        <w:numPr>
          <w:ilvl w:val="0"/>
          <w:numId w:val="0"/>
        </w:numPr>
        <w:ind w:leftChars="0" w:firstLine="420" w:firstLineChars="0"/>
      </w:pPr>
      <w:r>
        <w:drawing>
          <wp:inline distT="0" distB="0" distL="114300" distR="114300">
            <wp:extent cx="5274310" cy="2397760"/>
            <wp:effectExtent l="0" t="0" r="8890" b="2540"/>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pic:cNvPicPr>
                      <a:picLocks noChangeAspect="1"/>
                    </pic:cNvPicPr>
                  </pic:nvPicPr>
                  <pic:blipFill>
                    <a:blip r:embed="rId36"/>
                    <a:stretch>
                      <a:fillRect/>
                    </a:stretch>
                  </pic:blipFill>
                  <pic:spPr>
                    <a:xfrm>
                      <a:off x="0" y="0"/>
                      <a:ext cx="5274310" cy="2397760"/>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262880" cy="2571115"/>
            <wp:effectExtent l="0" t="0" r="7620" b="6985"/>
            <wp:docPr id="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9"/>
                    <pic:cNvPicPr>
                      <a:picLocks noChangeAspect="1"/>
                    </pic:cNvPicPr>
                  </pic:nvPicPr>
                  <pic:blipFill>
                    <a:blip r:embed="rId37"/>
                    <a:stretch>
                      <a:fillRect/>
                    </a:stretch>
                  </pic:blipFill>
                  <pic:spPr>
                    <a:xfrm>
                      <a:off x="0" y="0"/>
                      <a:ext cx="5262880" cy="2571115"/>
                    </a:xfrm>
                    <a:prstGeom prst="rect">
                      <a:avLst/>
                    </a:prstGeom>
                    <a:noFill/>
                    <a:ln>
                      <a:noFill/>
                    </a:ln>
                  </pic:spPr>
                </pic:pic>
              </a:graphicData>
            </a:graphic>
          </wp:inline>
        </w:drawing>
      </w:r>
    </w:p>
    <w:p>
      <w:pPr>
        <w:numPr>
          <w:ilvl w:val="0"/>
          <w:numId w:val="11"/>
        </w:numPr>
        <w:ind w:left="0" w:leftChars="0" w:firstLine="0" w:firstLineChars="0"/>
        <w:rPr>
          <w:rFonts w:hint="default"/>
          <w:lang w:val="en-US" w:eastAsia="zh-CN"/>
        </w:rPr>
      </w:pPr>
      <w:r>
        <w:rPr>
          <w:rFonts w:hint="eastAsia"/>
          <w:lang w:val="en-US" w:eastAsia="zh-CN"/>
        </w:rPr>
        <w:t>查看学生各阶段信息</w:t>
      </w:r>
    </w:p>
    <w:p>
      <w:pPr>
        <w:numPr>
          <w:ilvl w:val="0"/>
          <w:numId w:val="0"/>
        </w:numPr>
        <w:ind w:leftChars="0" w:firstLine="420" w:firstLineChars="0"/>
        <w:rPr>
          <w:rFonts w:hint="eastAsia"/>
          <w:lang w:val="en-US" w:eastAsia="zh-CN"/>
        </w:rPr>
      </w:pPr>
      <w:r>
        <w:rPr>
          <w:rFonts w:hint="eastAsia"/>
          <w:lang w:val="en-US" w:eastAsia="zh-CN"/>
        </w:rPr>
        <w:t>点击“查看”后即可查看学生各阶段稿件、评语和毕设成绩。在此页面，你可以下载学生初评环节各个阶段的稿件，也可下载学生毕设阶段所有的批阅、评阅和答辩文件。</w:t>
      </w:r>
    </w:p>
    <w:p>
      <w:pPr>
        <w:numPr>
          <w:ilvl w:val="0"/>
          <w:numId w:val="0"/>
        </w:numPr>
        <w:rPr>
          <w:rFonts w:hint="default"/>
          <w:lang w:val="en-US" w:eastAsia="zh-CN"/>
        </w:rPr>
      </w:pPr>
      <w:r>
        <w:drawing>
          <wp:inline distT="0" distB="0" distL="114300" distR="114300">
            <wp:extent cx="5271135" cy="3578860"/>
            <wp:effectExtent l="0" t="0" r="12065" b="25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8"/>
                    <a:stretch>
                      <a:fillRect/>
                    </a:stretch>
                  </pic:blipFill>
                  <pic:spPr>
                    <a:xfrm>
                      <a:off x="0" y="0"/>
                      <a:ext cx="5271135" cy="3578860"/>
                    </a:xfrm>
                    <a:prstGeom prst="rect">
                      <a:avLst/>
                    </a:prstGeom>
                    <a:noFill/>
                    <a:ln>
                      <a:noFill/>
                    </a:ln>
                  </pic:spPr>
                </pic:pic>
              </a:graphicData>
            </a:graphic>
          </wp:inline>
        </w:drawing>
      </w:r>
    </w:p>
    <w:p>
      <w:pPr>
        <w:pStyle w:val="2"/>
        <w:bidi w:val="0"/>
        <w:rPr>
          <w:rFonts w:hint="eastAsia"/>
          <w:lang w:val="en-US" w:eastAsia="zh-CN"/>
        </w:rPr>
      </w:pPr>
      <w:bookmarkStart w:id="12" w:name="_Toc21917"/>
      <w:r>
        <w:rPr>
          <w:rFonts w:hint="eastAsia"/>
          <w:lang w:val="en-US" w:eastAsia="zh-CN"/>
        </w:rPr>
        <w:t>毕设成绩</w:t>
      </w:r>
      <w:bookmarkEnd w:id="12"/>
    </w:p>
    <w:p>
      <w:r>
        <w:rPr>
          <w:rFonts w:hint="eastAsia"/>
          <w:lang w:val="en-US" w:eastAsia="zh-CN"/>
        </w:rPr>
        <w:t>毕设流程结束后，在教学平台课程页面的毕设流程中可以点击按钮直接跳转至毕设平台查看学生毕设成绩。</w:t>
      </w:r>
    </w:p>
    <w:p>
      <w:pPr>
        <w:ind w:left="0" w:leftChars="0" w:firstLine="420" w:firstLineChars="0"/>
        <w:rPr>
          <w:rFonts w:hint="eastAsia"/>
          <w:lang w:val="en-US" w:eastAsia="zh-CN"/>
        </w:rPr>
      </w:pPr>
      <w:r>
        <w:rPr>
          <w:rFonts w:hint="eastAsia"/>
          <w:lang w:val="en-US" w:eastAsia="zh-CN"/>
        </w:rPr>
        <w:t>进入毕设流程后，将显示学生的毕设各阶段最终成绩，点击进入可以查看学生的成绩明细。登录用户为课程负责人时，显示负责课程下的所有学生的成绩。登录用户为指导教师时，显示当前用户指导的学生成绩。</w:t>
      </w:r>
    </w:p>
    <w:p>
      <w:pPr>
        <w:ind w:left="0" w:leftChars="0" w:firstLine="0" w:firstLineChars="0"/>
      </w:pPr>
      <w:r>
        <w:drawing>
          <wp:inline distT="0" distB="0" distL="114300" distR="114300">
            <wp:extent cx="5267960" cy="2919095"/>
            <wp:effectExtent l="0" t="0" r="2540" b="1905"/>
            <wp:docPr id="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pic:cNvPicPr>
                      <a:picLocks noChangeAspect="1"/>
                    </pic:cNvPicPr>
                  </pic:nvPicPr>
                  <pic:blipFill>
                    <a:blip r:embed="rId39"/>
                    <a:stretch>
                      <a:fillRect/>
                    </a:stretch>
                  </pic:blipFill>
                  <pic:spPr>
                    <a:xfrm>
                      <a:off x="0" y="0"/>
                      <a:ext cx="5267960" cy="2919095"/>
                    </a:xfrm>
                    <a:prstGeom prst="rect">
                      <a:avLst/>
                    </a:prstGeom>
                    <a:noFill/>
                    <a:ln>
                      <a:noFill/>
                    </a:ln>
                  </pic:spPr>
                </pic:pic>
              </a:graphicData>
            </a:graphic>
          </wp:inline>
        </w:drawing>
      </w:r>
    </w:p>
    <w:p>
      <w:pPr>
        <w:ind w:left="0" w:leftChars="0" w:firstLine="0" w:firstLineChars="0"/>
        <w:rPr>
          <w:rFonts w:hint="default"/>
          <w:lang w:val="en-US" w:eastAsia="zh-CN"/>
        </w:rPr>
      </w:pPr>
      <w:r>
        <w:drawing>
          <wp:inline distT="0" distB="0" distL="114300" distR="114300">
            <wp:extent cx="5271135" cy="3578860"/>
            <wp:effectExtent l="0" t="0" r="12065" b="254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8"/>
                    <a:stretch>
                      <a:fillRect/>
                    </a:stretch>
                  </pic:blipFill>
                  <pic:spPr>
                    <a:xfrm>
                      <a:off x="0" y="0"/>
                      <a:ext cx="5271135" cy="3578860"/>
                    </a:xfrm>
                    <a:prstGeom prst="rect">
                      <a:avLst/>
                    </a:prstGeom>
                    <a:noFill/>
                    <a:ln>
                      <a:noFill/>
                    </a:ln>
                  </pic:spPr>
                </pic:pic>
              </a:graphicData>
            </a:graphic>
          </wp:inline>
        </w:drawing>
      </w:r>
    </w:p>
    <w:p>
      <w:pPr>
        <w:rPr>
          <w:rFonts w:hint="default"/>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default"/>
        <w:lang w:val="en-US"/>
      </w:rPr>
      <mc:AlternateContent>
        <mc:Choice Requires="wps">
          <w:drawing>
            <wp:anchor distT="0" distB="0" distL="114300" distR="114300" simplePos="0" relativeHeight="251659264" behindDoc="0" locked="0" layoutInCell="1" allowOverlap="1">
              <wp:simplePos x="0" y="0"/>
              <wp:positionH relativeFrom="column">
                <wp:posOffset>5212080</wp:posOffset>
              </wp:positionH>
              <wp:positionV relativeFrom="paragraph">
                <wp:posOffset>-95885</wp:posOffset>
              </wp:positionV>
              <wp:extent cx="0" cy="217805"/>
              <wp:effectExtent l="4445" t="0" r="8255" b="10795"/>
              <wp:wrapNone/>
              <wp:docPr id="87" name="直接连接符 87"/>
              <wp:cNvGraphicFramePr/>
              <a:graphic xmlns:a="http://schemas.openxmlformats.org/drawingml/2006/main">
                <a:graphicData uri="http://schemas.microsoft.com/office/word/2010/wordprocessingShape">
                  <wps:wsp>
                    <wps:cNvCnPr/>
                    <wps:spPr>
                      <a:xfrm>
                        <a:off x="0" y="0"/>
                        <a:ext cx="0" cy="217805"/>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0.4pt;margin-top:-7.55pt;height:17.15pt;width:0pt;z-index:251659264;mso-width-relative:page;mso-height-relative:page;" filled="f" stroked="t" coordsize="21600,21600" o:gfxdata="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HUiX1wAAAAoBAAAPAAAAAAAAAAEAIAAAACIAAABkcnMvZG93bnJldi54bWxQSwEC&#10;FAAUAAAACACHTuJAo5olfPUBAADUAwAADgAAAAAAAAABACAAAAAmAQAAZHJzL2Uyb0RvYy54bWxQ&#10;SwUGAAAAAAYABgBZAQAAjQUAAAAA&#10;">
              <v:fill on="f" focussize="0,0"/>
              <v:stroke weight="0.5pt" color="#D9D9D9 [2732]" miterlimit="8" joinstyle="miter"/>
              <v:imagedata o:title=""/>
              <o:lock v:ext="edit" aspectratio="f"/>
            </v:line>
          </w:pict>
        </mc:Fallback>
      </mc:AlternateContent>
    </w:r>
    <w:r>
      <w:rPr>
        <w:rFonts w:hint="eastAsia"/>
        <w:lang w:val="en-US" w:eastAsia="zh-CN"/>
      </w:rPr>
      <w:t>南京典骋</w:t>
    </w:r>
    <w:r>
      <w:rPr>
        <w:rFonts w:hint="eastAsia"/>
      </w:rPr>
      <w:t>科技有限公司 版权所有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3FF9B"/>
    <w:multiLevelType w:val="singleLevel"/>
    <w:tmpl w:val="8363FF9B"/>
    <w:lvl w:ilvl="0" w:tentative="0">
      <w:start w:val="1"/>
      <w:numFmt w:val="decimal"/>
      <w:suff w:val="nothing"/>
      <w:lvlText w:val="（%1）"/>
      <w:lvlJc w:val="left"/>
    </w:lvl>
  </w:abstractNum>
  <w:abstractNum w:abstractNumId="1">
    <w:nsid w:val="9C2E42FC"/>
    <w:multiLevelType w:val="singleLevel"/>
    <w:tmpl w:val="9C2E42FC"/>
    <w:lvl w:ilvl="0" w:tentative="0">
      <w:start w:val="1"/>
      <w:numFmt w:val="decimal"/>
      <w:suff w:val="nothing"/>
      <w:lvlText w:val="%1、"/>
      <w:lvlJc w:val="left"/>
    </w:lvl>
  </w:abstractNum>
  <w:abstractNum w:abstractNumId="2">
    <w:nsid w:val="A2EF136E"/>
    <w:multiLevelType w:val="singleLevel"/>
    <w:tmpl w:val="A2EF136E"/>
    <w:lvl w:ilvl="0" w:tentative="0">
      <w:start w:val="1"/>
      <w:numFmt w:val="decimal"/>
      <w:suff w:val="nothing"/>
      <w:lvlText w:val="（%1）"/>
      <w:lvlJc w:val="left"/>
    </w:lvl>
  </w:abstractNum>
  <w:abstractNum w:abstractNumId="3">
    <w:nsid w:val="D780D73B"/>
    <w:multiLevelType w:val="singleLevel"/>
    <w:tmpl w:val="D780D73B"/>
    <w:lvl w:ilvl="0" w:tentative="0">
      <w:start w:val="1"/>
      <w:numFmt w:val="decimal"/>
      <w:suff w:val="nothing"/>
      <w:lvlText w:val="（%1）"/>
      <w:lvlJc w:val="left"/>
    </w:lvl>
  </w:abstractNum>
  <w:abstractNum w:abstractNumId="4">
    <w:nsid w:val="E728C115"/>
    <w:multiLevelType w:val="multilevel"/>
    <w:tmpl w:val="E728C11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5">
    <w:nsid w:val="1CC9BD0B"/>
    <w:multiLevelType w:val="singleLevel"/>
    <w:tmpl w:val="1CC9BD0B"/>
    <w:lvl w:ilvl="0" w:tentative="0">
      <w:start w:val="1"/>
      <w:numFmt w:val="decimal"/>
      <w:suff w:val="nothing"/>
      <w:lvlText w:val="（%1）"/>
      <w:lvlJc w:val="left"/>
    </w:lvl>
  </w:abstractNum>
  <w:abstractNum w:abstractNumId="6">
    <w:nsid w:val="25514536"/>
    <w:multiLevelType w:val="singleLevel"/>
    <w:tmpl w:val="25514536"/>
    <w:lvl w:ilvl="0" w:tentative="0">
      <w:start w:val="1"/>
      <w:numFmt w:val="decimal"/>
      <w:suff w:val="nothing"/>
      <w:lvlText w:val="%1、"/>
      <w:lvlJc w:val="left"/>
    </w:lvl>
  </w:abstractNum>
  <w:abstractNum w:abstractNumId="7">
    <w:nsid w:val="298DA1B8"/>
    <w:multiLevelType w:val="multilevel"/>
    <w:tmpl w:val="298DA1B8"/>
    <w:lvl w:ilvl="0" w:tentative="0">
      <w:start w:val="1"/>
      <w:numFmt w:val="decimal"/>
      <w:pStyle w:val="2"/>
      <w:lvlText w:val="%1."/>
      <w:lvlJc w:val="left"/>
      <w:pPr>
        <w:tabs>
          <w:tab w:val="left" w:pos="425"/>
        </w:tabs>
        <w:ind w:left="425" w:hanging="425"/>
      </w:pPr>
      <w:rPr>
        <w:rFonts w:hint="eastAsia"/>
      </w:rPr>
    </w:lvl>
    <w:lvl w:ilvl="1" w:tentative="0">
      <w:start w:val="1"/>
      <w:numFmt w:val="decimal"/>
      <w:pStyle w:val="3"/>
      <w:lvlText w:val="%1.%2."/>
      <w:lvlJc w:val="left"/>
      <w:pPr>
        <w:tabs>
          <w:tab w:val="left" w:pos="794"/>
        </w:tabs>
        <w:ind w:left="794" w:hanging="737"/>
      </w:pPr>
      <w:rPr>
        <w:rFonts w:hint="eastAsia"/>
      </w:rPr>
    </w:lvl>
    <w:lvl w:ilvl="2" w:tentative="0">
      <w:start w:val="1"/>
      <w:numFmt w:val="decimal"/>
      <w:pStyle w:val="4"/>
      <w:lvlText w:val="%1.%2.%3"/>
      <w:lvlJc w:val="left"/>
      <w:pPr>
        <w:tabs>
          <w:tab w:val="left" w:pos="907"/>
        </w:tabs>
        <w:ind w:left="907" w:hanging="794"/>
      </w:pPr>
      <w:rPr>
        <w:rFonts w:hint="eastAsia"/>
      </w:rPr>
    </w:lvl>
    <w:lvl w:ilvl="3" w:tentative="0">
      <w:start w:val="1"/>
      <w:numFmt w:val="decimal"/>
      <w:pStyle w:val="5"/>
      <w:lvlText w:val="%1.%2.%3.%4"/>
      <w:lvlJc w:val="left"/>
      <w:pPr>
        <w:tabs>
          <w:tab w:val="left" w:pos="1247"/>
        </w:tabs>
        <w:ind w:left="1247" w:hanging="963"/>
      </w:pPr>
      <w:rPr>
        <w:rFonts w:hint="eastAsia"/>
      </w:rPr>
    </w:lvl>
    <w:lvl w:ilvl="4" w:tentative="0">
      <w:start w:val="1"/>
      <w:numFmt w:val="decimal"/>
      <w:pStyle w:val="21"/>
      <w:lvlText w:val="(%5)"/>
      <w:lvlJc w:val="left"/>
      <w:pPr>
        <w:tabs>
          <w:tab w:val="left" w:pos="1134"/>
        </w:tabs>
        <w:ind w:left="1134" w:hanging="567"/>
      </w:pPr>
      <w:rPr>
        <w:rFonts w:hint="eastAsia"/>
      </w:rPr>
    </w:lvl>
    <w:lvl w:ilvl="5" w:tentative="0">
      <w:start w:val="1"/>
      <w:numFmt w:val="decimalEnclosedCircle"/>
      <w:pStyle w:val="22"/>
      <w:lvlText w:val="%6"/>
      <w:lvlJc w:val="left"/>
      <w:pPr>
        <w:tabs>
          <w:tab w:val="left" w:pos="1247"/>
        </w:tabs>
        <w:ind w:left="1247" w:hanging="340"/>
      </w:pPr>
      <w:rPr>
        <w:rFonts w:hint="eastAsia"/>
      </w:rPr>
    </w:lvl>
    <w:lvl w:ilvl="6" w:tentative="0">
      <w:start w:val="1"/>
      <w:numFmt w:val="upperLetter"/>
      <w:pStyle w:val="23"/>
      <w:lvlText w:val="%7."/>
      <w:lvlJc w:val="left"/>
      <w:pPr>
        <w:tabs>
          <w:tab w:val="left" w:pos="1474"/>
        </w:tabs>
        <w:ind w:left="1474" w:hanging="340"/>
      </w:pPr>
      <w:rPr>
        <w:rFonts w:hint="eastAsia"/>
      </w:rPr>
    </w:lvl>
    <w:lvl w:ilvl="7" w:tentative="0">
      <w:start w:val="1"/>
      <w:numFmt w:val="lowerLetter"/>
      <w:pStyle w:val="24"/>
      <w:lvlText w:val="%8."/>
      <w:lvlJc w:val="left"/>
      <w:pPr>
        <w:tabs>
          <w:tab w:val="left" w:pos="1701"/>
        </w:tabs>
        <w:ind w:left="1701" w:hanging="340"/>
      </w:pPr>
      <w:rPr>
        <w:rFonts w:hint="eastAsia"/>
      </w:rPr>
    </w:lvl>
    <w:lvl w:ilvl="8" w:tentative="0">
      <w:start w:val="1"/>
      <w:numFmt w:val="bullet"/>
      <w:lvlText w:val=""/>
      <w:lvlJc w:val="left"/>
      <w:pPr>
        <w:tabs>
          <w:tab w:val="left" w:pos="1871"/>
        </w:tabs>
        <w:ind w:left="1871" w:hanging="283"/>
      </w:pPr>
      <w:rPr>
        <w:rFonts w:hint="eastAsia" w:ascii="Symbol" w:hAnsi="Symbol"/>
        <w:color w:val="auto"/>
      </w:rPr>
    </w:lvl>
  </w:abstractNum>
  <w:abstractNum w:abstractNumId="8">
    <w:nsid w:val="32453E9E"/>
    <w:multiLevelType w:val="singleLevel"/>
    <w:tmpl w:val="32453E9E"/>
    <w:lvl w:ilvl="0" w:tentative="0">
      <w:start w:val="1"/>
      <w:numFmt w:val="decimal"/>
      <w:suff w:val="nothing"/>
      <w:lvlText w:val="（%1）"/>
      <w:lvlJc w:val="left"/>
    </w:lvl>
  </w:abstractNum>
  <w:abstractNum w:abstractNumId="9">
    <w:nsid w:val="3CEA6045"/>
    <w:multiLevelType w:val="singleLevel"/>
    <w:tmpl w:val="3CEA6045"/>
    <w:lvl w:ilvl="0" w:tentative="0">
      <w:start w:val="1"/>
      <w:numFmt w:val="decimal"/>
      <w:suff w:val="nothing"/>
      <w:lvlText w:val="（%1）"/>
      <w:lvlJc w:val="left"/>
    </w:lvl>
  </w:abstractNum>
  <w:abstractNum w:abstractNumId="10">
    <w:nsid w:val="67C0BD7D"/>
    <w:multiLevelType w:val="singleLevel"/>
    <w:tmpl w:val="67C0BD7D"/>
    <w:lvl w:ilvl="0" w:tentative="0">
      <w:start w:val="1"/>
      <w:numFmt w:val="decimal"/>
      <w:suff w:val="nothing"/>
      <w:lvlText w:val="（%1）"/>
      <w:lvlJc w:val="left"/>
    </w:lvl>
  </w:abstractNum>
  <w:num w:numId="1">
    <w:abstractNumId w:val="7"/>
  </w:num>
  <w:num w:numId="2">
    <w:abstractNumId w:val="4"/>
  </w:num>
  <w:num w:numId="3">
    <w:abstractNumId w:val="0"/>
  </w:num>
  <w:num w:numId="4">
    <w:abstractNumId w:val="2"/>
  </w:num>
  <w:num w:numId="5">
    <w:abstractNumId w:val="3"/>
  </w:num>
  <w:num w:numId="6">
    <w:abstractNumId w:val="8"/>
  </w:num>
  <w:num w:numId="7">
    <w:abstractNumId w:val="6"/>
  </w:num>
  <w:num w:numId="8">
    <w:abstractNumId w:val="10"/>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0000000"/>
    <w:rsid w:val="002660B8"/>
    <w:rsid w:val="004612B4"/>
    <w:rsid w:val="005358F6"/>
    <w:rsid w:val="006222C4"/>
    <w:rsid w:val="0063390D"/>
    <w:rsid w:val="00951FEE"/>
    <w:rsid w:val="009832DB"/>
    <w:rsid w:val="00AD0313"/>
    <w:rsid w:val="00C31E35"/>
    <w:rsid w:val="00CF4CAD"/>
    <w:rsid w:val="00E856ED"/>
    <w:rsid w:val="01162D8C"/>
    <w:rsid w:val="016B69F9"/>
    <w:rsid w:val="01710C8E"/>
    <w:rsid w:val="017168F0"/>
    <w:rsid w:val="01A84CC7"/>
    <w:rsid w:val="01E307E4"/>
    <w:rsid w:val="01FA1D99"/>
    <w:rsid w:val="02413155"/>
    <w:rsid w:val="02437EA4"/>
    <w:rsid w:val="024762BC"/>
    <w:rsid w:val="02491A95"/>
    <w:rsid w:val="02522897"/>
    <w:rsid w:val="026F6B31"/>
    <w:rsid w:val="028511D6"/>
    <w:rsid w:val="0292344D"/>
    <w:rsid w:val="02927928"/>
    <w:rsid w:val="029A4859"/>
    <w:rsid w:val="02C1534B"/>
    <w:rsid w:val="02CE1855"/>
    <w:rsid w:val="02EE0959"/>
    <w:rsid w:val="02FE02F0"/>
    <w:rsid w:val="031926D6"/>
    <w:rsid w:val="032A7AD1"/>
    <w:rsid w:val="03342B33"/>
    <w:rsid w:val="03432955"/>
    <w:rsid w:val="037829A1"/>
    <w:rsid w:val="038F24B9"/>
    <w:rsid w:val="03995A7B"/>
    <w:rsid w:val="03A409F1"/>
    <w:rsid w:val="03BD7FD8"/>
    <w:rsid w:val="03D45965"/>
    <w:rsid w:val="03F8210D"/>
    <w:rsid w:val="03FF5111"/>
    <w:rsid w:val="0419274F"/>
    <w:rsid w:val="044024D0"/>
    <w:rsid w:val="045D6BDE"/>
    <w:rsid w:val="04630EF4"/>
    <w:rsid w:val="04A25939"/>
    <w:rsid w:val="04D76FD1"/>
    <w:rsid w:val="04E55E8A"/>
    <w:rsid w:val="050143F6"/>
    <w:rsid w:val="05133711"/>
    <w:rsid w:val="052E0D99"/>
    <w:rsid w:val="054729BF"/>
    <w:rsid w:val="054D7753"/>
    <w:rsid w:val="05520507"/>
    <w:rsid w:val="05530F26"/>
    <w:rsid w:val="05722852"/>
    <w:rsid w:val="057E05B7"/>
    <w:rsid w:val="0587383F"/>
    <w:rsid w:val="059304EA"/>
    <w:rsid w:val="05937F74"/>
    <w:rsid w:val="05B24C3C"/>
    <w:rsid w:val="05B61707"/>
    <w:rsid w:val="05C811B7"/>
    <w:rsid w:val="05CD5DB3"/>
    <w:rsid w:val="05CF63EE"/>
    <w:rsid w:val="05DB7B33"/>
    <w:rsid w:val="05EF40A4"/>
    <w:rsid w:val="0610480E"/>
    <w:rsid w:val="06340995"/>
    <w:rsid w:val="063708CF"/>
    <w:rsid w:val="064F22EB"/>
    <w:rsid w:val="065C2113"/>
    <w:rsid w:val="06620393"/>
    <w:rsid w:val="06B521A6"/>
    <w:rsid w:val="06C05E3A"/>
    <w:rsid w:val="06C86B3E"/>
    <w:rsid w:val="06D41959"/>
    <w:rsid w:val="06F1328E"/>
    <w:rsid w:val="070113E9"/>
    <w:rsid w:val="07151036"/>
    <w:rsid w:val="07216FA7"/>
    <w:rsid w:val="07306994"/>
    <w:rsid w:val="073568DE"/>
    <w:rsid w:val="0747382A"/>
    <w:rsid w:val="07695103"/>
    <w:rsid w:val="076A196A"/>
    <w:rsid w:val="07972DBC"/>
    <w:rsid w:val="079833D8"/>
    <w:rsid w:val="07AD28A8"/>
    <w:rsid w:val="07AD305D"/>
    <w:rsid w:val="07C96089"/>
    <w:rsid w:val="07E12E57"/>
    <w:rsid w:val="07E46BC2"/>
    <w:rsid w:val="07EB3DFB"/>
    <w:rsid w:val="0807551E"/>
    <w:rsid w:val="0874254F"/>
    <w:rsid w:val="088E3EF3"/>
    <w:rsid w:val="089A01CA"/>
    <w:rsid w:val="08A44879"/>
    <w:rsid w:val="08AD5A2D"/>
    <w:rsid w:val="08D47D22"/>
    <w:rsid w:val="08E03209"/>
    <w:rsid w:val="08F54642"/>
    <w:rsid w:val="091401DE"/>
    <w:rsid w:val="095E72D5"/>
    <w:rsid w:val="096C1483"/>
    <w:rsid w:val="09B13C27"/>
    <w:rsid w:val="09BC500B"/>
    <w:rsid w:val="09CE4775"/>
    <w:rsid w:val="09D350B2"/>
    <w:rsid w:val="09ED0E00"/>
    <w:rsid w:val="0A1677BE"/>
    <w:rsid w:val="0A231544"/>
    <w:rsid w:val="0A2B4D08"/>
    <w:rsid w:val="0A3224AA"/>
    <w:rsid w:val="0A74211F"/>
    <w:rsid w:val="0A790CFE"/>
    <w:rsid w:val="0A8A52CA"/>
    <w:rsid w:val="0A900BA2"/>
    <w:rsid w:val="0AA11BD4"/>
    <w:rsid w:val="0AC23A05"/>
    <w:rsid w:val="0AD21DF2"/>
    <w:rsid w:val="0B1A255E"/>
    <w:rsid w:val="0B225558"/>
    <w:rsid w:val="0B374994"/>
    <w:rsid w:val="0B520BD8"/>
    <w:rsid w:val="0C0113EF"/>
    <w:rsid w:val="0C0A0E4D"/>
    <w:rsid w:val="0C216BE0"/>
    <w:rsid w:val="0C337A59"/>
    <w:rsid w:val="0C3F40EF"/>
    <w:rsid w:val="0C4D2C93"/>
    <w:rsid w:val="0C5725C1"/>
    <w:rsid w:val="0C5A3379"/>
    <w:rsid w:val="0C99242A"/>
    <w:rsid w:val="0CA279CF"/>
    <w:rsid w:val="0CB644DD"/>
    <w:rsid w:val="0CB90210"/>
    <w:rsid w:val="0CDD3DC4"/>
    <w:rsid w:val="0D2524E0"/>
    <w:rsid w:val="0D281943"/>
    <w:rsid w:val="0D4669A5"/>
    <w:rsid w:val="0D5D1E8C"/>
    <w:rsid w:val="0D5E2968"/>
    <w:rsid w:val="0D763F66"/>
    <w:rsid w:val="0D7D6242"/>
    <w:rsid w:val="0D984EDB"/>
    <w:rsid w:val="0DA053D5"/>
    <w:rsid w:val="0DAC36DA"/>
    <w:rsid w:val="0DBF4B87"/>
    <w:rsid w:val="0E0C27D3"/>
    <w:rsid w:val="0E21075D"/>
    <w:rsid w:val="0E3F0B8C"/>
    <w:rsid w:val="0E482CD3"/>
    <w:rsid w:val="0E5F7864"/>
    <w:rsid w:val="0E653227"/>
    <w:rsid w:val="0E7B4141"/>
    <w:rsid w:val="0E7B54DB"/>
    <w:rsid w:val="0E84524C"/>
    <w:rsid w:val="0EB67E72"/>
    <w:rsid w:val="0EC726DA"/>
    <w:rsid w:val="0EC76217"/>
    <w:rsid w:val="0EE25329"/>
    <w:rsid w:val="0F11556B"/>
    <w:rsid w:val="0F1B6EBC"/>
    <w:rsid w:val="0F4962EC"/>
    <w:rsid w:val="0F5231D9"/>
    <w:rsid w:val="0F714E18"/>
    <w:rsid w:val="0F982424"/>
    <w:rsid w:val="0FB52C77"/>
    <w:rsid w:val="0FCE3055"/>
    <w:rsid w:val="0FF01F1F"/>
    <w:rsid w:val="0FF4337C"/>
    <w:rsid w:val="0FFD2710"/>
    <w:rsid w:val="100603D9"/>
    <w:rsid w:val="101F2180"/>
    <w:rsid w:val="102A4B8A"/>
    <w:rsid w:val="102F603B"/>
    <w:rsid w:val="10315AA5"/>
    <w:rsid w:val="10460EA4"/>
    <w:rsid w:val="1053255D"/>
    <w:rsid w:val="105E52AC"/>
    <w:rsid w:val="10C326EC"/>
    <w:rsid w:val="10EB58FF"/>
    <w:rsid w:val="110A53D8"/>
    <w:rsid w:val="110A644F"/>
    <w:rsid w:val="111462E7"/>
    <w:rsid w:val="11376DDC"/>
    <w:rsid w:val="115F1B58"/>
    <w:rsid w:val="116A36CE"/>
    <w:rsid w:val="117A1291"/>
    <w:rsid w:val="11A21405"/>
    <w:rsid w:val="11CB5092"/>
    <w:rsid w:val="120F552B"/>
    <w:rsid w:val="121C2876"/>
    <w:rsid w:val="123E2F14"/>
    <w:rsid w:val="12665AA8"/>
    <w:rsid w:val="1272002A"/>
    <w:rsid w:val="12803B05"/>
    <w:rsid w:val="1288618A"/>
    <w:rsid w:val="129A3960"/>
    <w:rsid w:val="12AE74A8"/>
    <w:rsid w:val="12B63D51"/>
    <w:rsid w:val="12F936CE"/>
    <w:rsid w:val="13541673"/>
    <w:rsid w:val="13562212"/>
    <w:rsid w:val="137661CC"/>
    <w:rsid w:val="13BB4EDE"/>
    <w:rsid w:val="13BE4C05"/>
    <w:rsid w:val="13CC5DC0"/>
    <w:rsid w:val="13E35E24"/>
    <w:rsid w:val="13FC64BE"/>
    <w:rsid w:val="142F0D5C"/>
    <w:rsid w:val="14361B3B"/>
    <w:rsid w:val="144419E9"/>
    <w:rsid w:val="144B65A7"/>
    <w:rsid w:val="14774735"/>
    <w:rsid w:val="147D6845"/>
    <w:rsid w:val="148D12BD"/>
    <w:rsid w:val="149B55F0"/>
    <w:rsid w:val="14A6797F"/>
    <w:rsid w:val="14A93828"/>
    <w:rsid w:val="14AA6509"/>
    <w:rsid w:val="14BE5D79"/>
    <w:rsid w:val="15086A4E"/>
    <w:rsid w:val="15263FC1"/>
    <w:rsid w:val="15404F43"/>
    <w:rsid w:val="15525981"/>
    <w:rsid w:val="15575392"/>
    <w:rsid w:val="1597601E"/>
    <w:rsid w:val="159D1E24"/>
    <w:rsid w:val="15B03F08"/>
    <w:rsid w:val="15C725ED"/>
    <w:rsid w:val="15C86E76"/>
    <w:rsid w:val="15D35A40"/>
    <w:rsid w:val="15D85ACF"/>
    <w:rsid w:val="160A09A8"/>
    <w:rsid w:val="162B66B0"/>
    <w:rsid w:val="164441F7"/>
    <w:rsid w:val="165D7766"/>
    <w:rsid w:val="168F1855"/>
    <w:rsid w:val="16DF192C"/>
    <w:rsid w:val="16EE45E1"/>
    <w:rsid w:val="170968DB"/>
    <w:rsid w:val="171B648E"/>
    <w:rsid w:val="176F3AB6"/>
    <w:rsid w:val="17867B20"/>
    <w:rsid w:val="1787231B"/>
    <w:rsid w:val="179A571D"/>
    <w:rsid w:val="17A82E6D"/>
    <w:rsid w:val="17B1614C"/>
    <w:rsid w:val="17BF1194"/>
    <w:rsid w:val="17C047CB"/>
    <w:rsid w:val="17EA0A1A"/>
    <w:rsid w:val="180743C4"/>
    <w:rsid w:val="186361A3"/>
    <w:rsid w:val="186927AC"/>
    <w:rsid w:val="187B48C5"/>
    <w:rsid w:val="18A83BA8"/>
    <w:rsid w:val="18DA7933"/>
    <w:rsid w:val="19192B52"/>
    <w:rsid w:val="19260249"/>
    <w:rsid w:val="1927342D"/>
    <w:rsid w:val="192A65A9"/>
    <w:rsid w:val="19350C84"/>
    <w:rsid w:val="1943725C"/>
    <w:rsid w:val="1950193E"/>
    <w:rsid w:val="196F319E"/>
    <w:rsid w:val="1977194D"/>
    <w:rsid w:val="197E26E6"/>
    <w:rsid w:val="197F4373"/>
    <w:rsid w:val="198B1326"/>
    <w:rsid w:val="1A0A1F72"/>
    <w:rsid w:val="1A0A772B"/>
    <w:rsid w:val="1A110E4C"/>
    <w:rsid w:val="1A4467AB"/>
    <w:rsid w:val="1A4B490C"/>
    <w:rsid w:val="1A557EE3"/>
    <w:rsid w:val="1A674549"/>
    <w:rsid w:val="1A9D5F7C"/>
    <w:rsid w:val="1AB84A0A"/>
    <w:rsid w:val="1AC00D75"/>
    <w:rsid w:val="1AC07BB5"/>
    <w:rsid w:val="1B074964"/>
    <w:rsid w:val="1B13320F"/>
    <w:rsid w:val="1B431579"/>
    <w:rsid w:val="1B584B71"/>
    <w:rsid w:val="1B6C76F2"/>
    <w:rsid w:val="1B70127D"/>
    <w:rsid w:val="1B7E4085"/>
    <w:rsid w:val="1BC6686F"/>
    <w:rsid w:val="1BC815A3"/>
    <w:rsid w:val="1BD82747"/>
    <w:rsid w:val="1C463D2F"/>
    <w:rsid w:val="1C6D66F4"/>
    <w:rsid w:val="1C711CFE"/>
    <w:rsid w:val="1C7C5329"/>
    <w:rsid w:val="1C7D5AB0"/>
    <w:rsid w:val="1CDB2D61"/>
    <w:rsid w:val="1CDB70C0"/>
    <w:rsid w:val="1CE61436"/>
    <w:rsid w:val="1CEF5C61"/>
    <w:rsid w:val="1D013E06"/>
    <w:rsid w:val="1D0C2447"/>
    <w:rsid w:val="1D3248EA"/>
    <w:rsid w:val="1D444E8E"/>
    <w:rsid w:val="1D806CF0"/>
    <w:rsid w:val="1DB77562"/>
    <w:rsid w:val="1DC95CC9"/>
    <w:rsid w:val="1DD5362A"/>
    <w:rsid w:val="1DE41D66"/>
    <w:rsid w:val="1E096CED"/>
    <w:rsid w:val="1E205924"/>
    <w:rsid w:val="1E2A5A4D"/>
    <w:rsid w:val="1E2E22C3"/>
    <w:rsid w:val="1E460835"/>
    <w:rsid w:val="1E5F6E66"/>
    <w:rsid w:val="1E681B69"/>
    <w:rsid w:val="1E6906B4"/>
    <w:rsid w:val="1E703B35"/>
    <w:rsid w:val="1E73657C"/>
    <w:rsid w:val="1E85149C"/>
    <w:rsid w:val="1E8B02CA"/>
    <w:rsid w:val="1E8E1487"/>
    <w:rsid w:val="1E9455D7"/>
    <w:rsid w:val="1EFB0ADF"/>
    <w:rsid w:val="1F09095F"/>
    <w:rsid w:val="1F0C6701"/>
    <w:rsid w:val="1F1060BE"/>
    <w:rsid w:val="1F2A66D0"/>
    <w:rsid w:val="1F3C730B"/>
    <w:rsid w:val="1F435112"/>
    <w:rsid w:val="1F4953F4"/>
    <w:rsid w:val="1F496867"/>
    <w:rsid w:val="1F6315E7"/>
    <w:rsid w:val="1F7A29AF"/>
    <w:rsid w:val="1F7F17CC"/>
    <w:rsid w:val="1FA00D76"/>
    <w:rsid w:val="201E4AA6"/>
    <w:rsid w:val="20230E39"/>
    <w:rsid w:val="204149D0"/>
    <w:rsid w:val="207232B8"/>
    <w:rsid w:val="207D3639"/>
    <w:rsid w:val="208B3E25"/>
    <w:rsid w:val="20924ED8"/>
    <w:rsid w:val="20F517D9"/>
    <w:rsid w:val="210073E6"/>
    <w:rsid w:val="2117616A"/>
    <w:rsid w:val="2137247F"/>
    <w:rsid w:val="21495F08"/>
    <w:rsid w:val="214A617C"/>
    <w:rsid w:val="215D4607"/>
    <w:rsid w:val="21875E7E"/>
    <w:rsid w:val="21AE1DFA"/>
    <w:rsid w:val="21B11FF4"/>
    <w:rsid w:val="21B12B4B"/>
    <w:rsid w:val="21B3374D"/>
    <w:rsid w:val="21D706F9"/>
    <w:rsid w:val="21E62DE1"/>
    <w:rsid w:val="221675E7"/>
    <w:rsid w:val="22177F20"/>
    <w:rsid w:val="22194153"/>
    <w:rsid w:val="221E6C53"/>
    <w:rsid w:val="225D7C2F"/>
    <w:rsid w:val="228F17A8"/>
    <w:rsid w:val="22C60578"/>
    <w:rsid w:val="22C84ABF"/>
    <w:rsid w:val="22D34478"/>
    <w:rsid w:val="22F07170"/>
    <w:rsid w:val="230A3CB2"/>
    <w:rsid w:val="23154EB1"/>
    <w:rsid w:val="23237643"/>
    <w:rsid w:val="232E1D1A"/>
    <w:rsid w:val="23677A61"/>
    <w:rsid w:val="236E2002"/>
    <w:rsid w:val="237B26B4"/>
    <w:rsid w:val="23AE3B29"/>
    <w:rsid w:val="23AF6E1B"/>
    <w:rsid w:val="23B33768"/>
    <w:rsid w:val="23B57BBC"/>
    <w:rsid w:val="23BA6C67"/>
    <w:rsid w:val="23C41DDF"/>
    <w:rsid w:val="23C7043A"/>
    <w:rsid w:val="23D5257E"/>
    <w:rsid w:val="23D64629"/>
    <w:rsid w:val="24052EAE"/>
    <w:rsid w:val="240B40CA"/>
    <w:rsid w:val="24141806"/>
    <w:rsid w:val="24321705"/>
    <w:rsid w:val="244704C5"/>
    <w:rsid w:val="24482B3C"/>
    <w:rsid w:val="24BF5515"/>
    <w:rsid w:val="24D10907"/>
    <w:rsid w:val="25140DB0"/>
    <w:rsid w:val="25172E86"/>
    <w:rsid w:val="251C4F62"/>
    <w:rsid w:val="2527697B"/>
    <w:rsid w:val="253E45E9"/>
    <w:rsid w:val="254D66EF"/>
    <w:rsid w:val="256118AD"/>
    <w:rsid w:val="25B56DD4"/>
    <w:rsid w:val="25C67B50"/>
    <w:rsid w:val="25FA4CFB"/>
    <w:rsid w:val="261B0DD3"/>
    <w:rsid w:val="261F65D6"/>
    <w:rsid w:val="26212CEF"/>
    <w:rsid w:val="262A7BA5"/>
    <w:rsid w:val="26680510"/>
    <w:rsid w:val="266D3B33"/>
    <w:rsid w:val="26770C43"/>
    <w:rsid w:val="26A250F4"/>
    <w:rsid w:val="26AC0E59"/>
    <w:rsid w:val="26B339A5"/>
    <w:rsid w:val="26D36703"/>
    <w:rsid w:val="26D4488B"/>
    <w:rsid w:val="26EC4470"/>
    <w:rsid w:val="26F04338"/>
    <w:rsid w:val="26FB6B53"/>
    <w:rsid w:val="270D3FA4"/>
    <w:rsid w:val="27221787"/>
    <w:rsid w:val="275077DF"/>
    <w:rsid w:val="27665757"/>
    <w:rsid w:val="27834844"/>
    <w:rsid w:val="27A134B5"/>
    <w:rsid w:val="27B47038"/>
    <w:rsid w:val="27B622D8"/>
    <w:rsid w:val="27BD6E47"/>
    <w:rsid w:val="27C4740A"/>
    <w:rsid w:val="27C77A5E"/>
    <w:rsid w:val="27FB55B6"/>
    <w:rsid w:val="280A05A3"/>
    <w:rsid w:val="28127D7B"/>
    <w:rsid w:val="28320A13"/>
    <w:rsid w:val="2837615C"/>
    <w:rsid w:val="285F0B58"/>
    <w:rsid w:val="28786986"/>
    <w:rsid w:val="28956F98"/>
    <w:rsid w:val="28AB1AFF"/>
    <w:rsid w:val="28B469C8"/>
    <w:rsid w:val="28CC42A5"/>
    <w:rsid w:val="28D92B11"/>
    <w:rsid w:val="290D2F56"/>
    <w:rsid w:val="29404183"/>
    <w:rsid w:val="294222B4"/>
    <w:rsid w:val="295D0561"/>
    <w:rsid w:val="297E1780"/>
    <w:rsid w:val="29832AA0"/>
    <w:rsid w:val="2986436D"/>
    <w:rsid w:val="298941C7"/>
    <w:rsid w:val="29910DA8"/>
    <w:rsid w:val="2A153E0E"/>
    <w:rsid w:val="2A176AD7"/>
    <w:rsid w:val="2A416D38"/>
    <w:rsid w:val="2A5827E9"/>
    <w:rsid w:val="2A6170E4"/>
    <w:rsid w:val="2A7036B2"/>
    <w:rsid w:val="2A777621"/>
    <w:rsid w:val="2A7E6B6D"/>
    <w:rsid w:val="2A961F43"/>
    <w:rsid w:val="2AB5291C"/>
    <w:rsid w:val="2AC42822"/>
    <w:rsid w:val="2AC968B3"/>
    <w:rsid w:val="2AD109BF"/>
    <w:rsid w:val="2AF27D91"/>
    <w:rsid w:val="2AFE6596"/>
    <w:rsid w:val="2B145AFD"/>
    <w:rsid w:val="2B3B3314"/>
    <w:rsid w:val="2B4065F5"/>
    <w:rsid w:val="2B5161EA"/>
    <w:rsid w:val="2B5A4749"/>
    <w:rsid w:val="2B5E1C8E"/>
    <w:rsid w:val="2B864A1C"/>
    <w:rsid w:val="2B8A0805"/>
    <w:rsid w:val="2B996DEA"/>
    <w:rsid w:val="2BAB65BC"/>
    <w:rsid w:val="2BF84B2D"/>
    <w:rsid w:val="2C1A38CA"/>
    <w:rsid w:val="2C23609B"/>
    <w:rsid w:val="2C285513"/>
    <w:rsid w:val="2C320914"/>
    <w:rsid w:val="2C690518"/>
    <w:rsid w:val="2C6A400B"/>
    <w:rsid w:val="2C7C6B05"/>
    <w:rsid w:val="2C8B1604"/>
    <w:rsid w:val="2C954EF9"/>
    <w:rsid w:val="2CAE0FC9"/>
    <w:rsid w:val="2CD925A3"/>
    <w:rsid w:val="2D3277E8"/>
    <w:rsid w:val="2D846D7F"/>
    <w:rsid w:val="2D8D6F4D"/>
    <w:rsid w:val="2D9A41CD"/>
    <w:rsid w:val="2DC40FAA"/>
    <w:rsid w:val="2DF47EB8"/>
    <w:rsid w:val="2E1C6F7C"/>
    <w:rsid w:val="2E370307"/>
    <w:rsid w:val="2E4D2561"/>
    <w:rsid w:val="2E4D7899"/>
    <w:rsid w:val="2E707A6E"/>
    <w:rsid w:val="2E91079C"/>
    <w:rsid w:val="2E916C78"/>
    <w:rsid w:val="2E99424A"/>
    <w:rsid w:val="2ECE12CD"/>
    <w:rsid w:val="2ED70190"/>
    <w:rsid w:val="2EDA2E3D"/>
    <w:rsid w:val="2EE46B7E"/>
    <w:rsid w:val="2EEA06A6"/>
    <w:rsid w:val="2EF458D5"/>
    <w:rsid w:val="2F03595A"/>
    <w:rsid w:val="2F434C13"/>
    <w:rsid w:val="2F443317"/>
    <w:rsid w:val="2F5B0AEF"/>
    <w:rsid w:val="2F6F74BA"/>
    <w:rsid w:val="2F9C60F6"/>
    <w:rsid w:val="2FA507D9"/>
    <w:rsid w:val="2FCC385A"/>
    <w:rsid w:val="2FCF30EC"/>
    <w:rsid w:val="2FD420FC"/>
    <w:rsid w:val="2FD533B7"/>
    <w:rsid w:val="302D3E09"/>
    <w:rsid w:val="30357436"/>
    <w:rsid w:val="304C1399"/>
    <w:rsid w:val="30805C4C"/>
    <w:rsid w:val="30B97065"/>
    <w:rsid w:val="30C066C3"/>
    <w:rsid w:val="30CF4EC0"/>
    <w:rsid w:val="30D06281"/>
    <w:rsid w:val="30DC6044"/>
    <w:rsid w:val="30F20303"/>
    <w:rsid w:val="30F32603"/>
    <w:rsid w:val="30F85278"/>
    <w:rsid w:val="30FA77AB"/>
    <w:rsid w:val="31046215"/>
    <w:rsid w:val="31092BF1"/>
    <w:rsid w:val="31145C1E"/>
    <w:rsid w:val="312B3F12"/>
    <w:rsid w:val="312C3C97"/>
    <w:rsid w:val="31521882"/>
    <w:rsid w:val="31557F20"/>
    <w:rsid w:val="3165151C"/>
    <w:rsid w:val="31922915"/>
    <w:rsid w:val="319323A3"/>
    <w:rsid w:val="3194636E"/>
    <w:rsid w:val="31973808"/>
    <w:rsid w:val="31AB789B"/>
    <w:rsid w:val="31B05EF5"/>
    <w:rsid w:val="31BD3A8C"/>
    <w:rsid w:val="31D73965"/>
    <w:rsid w:val="31DC7158"/>
    <w:rsid w:val="31F8643F"/>
    <w:rsid w:val="32086524"/>
    <w:rsid w:val="32274CDE"/>
    <w:rsid w:val="323E289D"/>
    <w:rsid w:val="324179D1"/>
    <w:rsid w:val="32502F0D"/>
    <w:rsid w:val="326607A3"/>
    <w:rsid w:val="32B95493"/>
    <w:rsid w:val="32CF0013"/>
    <w:rsid w:val="32D5760D"/>
    <w:rsid w:val="32FC4CA7"/>
    <w:rsid w:val="331B72E6"/>
    <w:rsid w:val="33320F12"/>
    <w:rsid w:val="33457536"/>
    <w:rsid w:val="337218D8"/>
    <w:rsid w:val="3373547A"/>
    <w:rsid w:val="33AF0CDE"/>
    <w:rsid w:val="33BE42AE"/>
    <w:rsid w:val="33C02C4F"/>
    <w:rsid w:val="33CD4606"/>
    <w:rsid w:val="33DA22E6"/>
    <w:rsid w:val="34217D82"/>
    <w:rsid w:val="3462284B"/>
    <w:rsid w:val="34A6272A"/>
    <w:rsid w:val="34C06C12"/>
    <w:rsid w:val="34D001F5"/>
    <w:rsid w:val="34DF2823"/>
    <w:rsid w:val="34EC127C"/>
    <w:rsid w:val="34FD6A46"/>
    <w:rsid w:val="35141831"/>
    <w:rsid w:val="351C2998"/>
    <w:rsid w:val="352120EF"/>
    <w:rsid w:val="35300AC2"/>
    <w:rsid w:val="3534645D"/>
    <w:rsid w:val="354F3995"/>
    <w:rsid w:val="356F03FD"/>
    <w:rsid w:val="35735141"/>
    <w:rsid w:val="35784998"/>
    <w:rsid w:val="357A26C8"/>
    <w:rsid w:val="35832BBC"/>
    <w:rsid w:val="35A27291"/>
    <w:rsid w:val="35D16D8D"/>
    <w:rsid w:val="35DC1E0B"/>
    <w:rsid w:val="35E90436"/>
    <w:rsid w:val="35F823F2"/>
    <w:rsid w:val="36004DCD"/>
    <w:rsid w:val="3617652F"/>
    <w:rsid w:val="3636445A"/>
    <w:rsid w:val="36621683"/>
    <w:rsid w:val="3696225F"/>
    <w:rsid w:val="369E5B6C"/>
    <w:rsid w:val="36BC5EC1"/>
    <w:rsid w:val="36CD21F2"/>
    <w:rsid w:val="36D829EF"/>
    <w:rsid w:val="36F20A15"/>
    <w:rsid w:val="36F27F53"/>
    <w:rsid w:val="36FD7F57"/>
    <w:rsid w:val="370340F8"/>
    <w:rsid w:val="370A21F8"/>
    <w:rsid w:val="371333AB"/>
    <w:rsid w:val="371F1DC5"/>
    <w:rsid w:val="37306BF9"/>
    <w:rsid w:val="375A16D9"/>
    <w:rsid w:val="37765445"/>
    <w:rsid w:val="37B33CB3"/>
    <w:rsid w:val="37C07609"/>
    <w:rsid w:val="37CB4BC7"/>
    <w:rsid w:val="37CE41A4"/>
    <w:rsid w:val="37FD548E"/>
    <w:rsid w:val="38072365"/>
    <w:rsid w:val="389975C7"/>
    <w:rsid w:val="38E20026"/>
    <w:rsid w:val="390E73B3"/>
    <w:rsid w:val="391476E6"/>
    <w:rsid w:val="39592666"/>
    <w:rsid w:val="396A1ADB"/>
    <w:rsid w:val="39B016B2"/>
    <w:rsid w:val="39BC7ACB"/>
    <w:rsid w:val="39CF69BE"/>
    <w:rsid w:val="39FA6FBA"/>
    <w:rsid w:val="3A106F97"/>
    <w:rsid w:val="3A165DFD"/>
    <w:rsid w:val="3A3F193C"/>
    <w:rsid w:val="3A4C3940"/>
    <w:rsid w:val="3A6F670A"/>
    <w:rsid w:val="3A71474F"/>
    <w:rsid w:val="3A7D1D1B"/>
    <w:rsid w:val="3A911C1E"/>
    <w:rsid w:val="3A9D42EB"/>
    <w:rsid w:val="3AAB199E"/>
    <w:rsid w:val="3AB766B5"/>
    <w:rsid w:val="3AC17669"/>
    <w:rsid w:val="3AC70E69"/>
    <w:rsid w:val="3AF21B3A"/>
    <w:rsid w:val="3B04259A"/>
    <w:rsid w:val="3B153A12"/>
    <w:rsid w:val="3B4C1D1A"/>
    <w:rsid w:val="3B5C21B1"/>
    <w:rsid w:val="3B646F7B"/>
    <w:rsid w:val="3B831BDD"/>
    <w:rsid w:val="3BA345C2"/>
    <w:rsid w:val="3BD91D56"/>
    <w:rsid w:val="3BEB19F9"/>
    <w:rsid w:val="3C28113E"/>
    <w:rsid w:val="3C437BEF"/>
    <w:rsid w:val="3C5E3894"/>
    <w:rsid w:val="3C680089"/>
    <w:rsid w:val="3C8B7826"/>
    <w:rsid w:val="3C913553"/>
    <w:rsid w:val="3C951465"/>
    <w:rsid w:val="3C9F4C8E"/>
    <w:rsid w:val="3CB447BC"/>
    <w:rsid w:val="3CC85EB1"/>
    <w:rsid w:val="3CE42FAE"/>
    <w:rsid w:val="3D10336A"/>
    <w:rsid w:val="3D252237"/>
    <w:rsid w:val="3D44485A"/>
    <w:rsid w:val="3D5C732F"/>
    <w:rsid w:val="3D6B7AB8"/>
    <w:rsid w:val="3D89177B"/>
    <w:rsid w:val="3DC6402B"/>
    <w:rsid w:val="3E030F13"/>
    <w:rsid w:val="3E11540E"/>
    <w:rsid w:val="3E246EED"/>
    <w:rsid w:val="3E337CFC"/>
    <w:rsid w:val="3E395EA5"/>
    <w:rsid w:val="3E466D7F"/>
    <w:rsid w:val="3E52684D"/>
    <w:rsid w:val="3E703177"/>
    <w:rsid w:val="3E860B4A"/>
    <w:rsid w:val="3E8E3C00"/>
    <w:rsid w:val="3E93582B"/>
    <w:rsid w:val="3E950CCD"/>
    <w:rsid w:val="3ECF04CF"/>
    <w:rsid w:val="3ED77908"/>
    <w:rsid w:val="3EE871B2"/>
    <w:rsid w:val="3F0F7385"/>
    <w:rsid w:val="3F324D15"/>
    <w:rsid w:val="3F3B0901"/>
    <w:rsid w:val="3F484132"/>
    <w:rsid w:val="3F6056FD"/>
    <w:rsid w:val="3F7417FA"/>
    <w:rsid w:val="3F851E62"/>
    <w:rsid w:val="3F885053"/>
    <w:rsid w:val="3F8F009B"/>
    <w:rsid w:val="3F9163F8"/>
    <w:rsid w:val="3F9B055B"/>
    <w:rsid w:val="3FB3156E"/>
    <w:rsid w:val="3FB54E9B"/>
    <w:rsid w:val="3FC201AB"/>
    <w:rsid w:val="3FC75F6D"/>
    <w:rsid w:val="3FD93536"/>
    <w:rsid w:val="3FE5255E"/>
    <w:rsid w:val="403C529E"/>
    <w:rsid w:val="404142B4"/>
    <w:rsid w:val="40445837"/>
    <w:rsid w:val="404B10C7"/>
    <w:rsid w:val="40657B50"/>
    <w:rsid w:val="40B15D85"/>
    <w:rsid w:val="40B3634A"/>
    <w:rsid w:val="40BB695A"/>
    <w:rsid w:val="40CB7361"/>
    <w:rsid w:val="4108086F"/>
    <w:rsid w:val="412216E7"/>
    <w:rsid w:val="412F2E1E"/>
    <w:rsid w:val="41BB74B3"/>
    <w:rsid w:val="41D52175"/>
    <w:rsid w:val="41D56199"/>
    <w:rsid w:val="41FB7630"/>
    <w:rsid w:val="42154762"/>
    <w:rsid w:val="42597A54"/>
    <w:rsid w:val="426D1D82"/>
    <w:rsid w:val="42833270"/>
    <w:rsid w:val="42895A92"/>
    <w:rsid w:val="42905DC8"/>
    <w:rsid w:val="42B46E26"/>
    <w:rsid w:val="42BA6B36"/>
    <w:rsid w:val="42CA37CB"/>
    <w:rsid w:val="42CB2E58"/>
    <w:rsid w:val="4303727E"/>
    <w:rsid w:val="431565B7"/>
    <w:rsid w:val="431636A8"/>
    <w:rsid w:val="433460A5"/>
    <w:rsid w:val="434863A1"/>
    <w:rsid w:val="434877D8"/>
    <w:rsid w:val="434F49D0"/>
    <w:rsid w:val="435B3CF8"/>
    <w:rsid w:val="437662C3"/>
    <w:rsid w:val="4390072F"/>
    <w:rsid w:val="43A4188A"/>
    <w:rsid w:val="43B0183C"/>
    <w:rsid w:val="43BD4292"/>
    <w:rsid w:val="43C63351"/>
    <w:rsid w:val="43D622A8"/>
    <w:rsid w:val="43DB6D71"/>
    <w:rsid w:val="44230286"/>
    <w:rsid w:val="44272E5A"/>
    <w:rsid w:val="44A258D5"/>
    <w:rsid w:val="44BC7891"/>
    <w:rsid w:val="44C65055"/>
    <w:rsid w:val="44EE78B3"/>
    <w:rsid w:val="45042166"/>
    <w:rsid w:val="450B60EE"/>
    <w:rsid w:val="45535364"/>
    <w:rsid w:val="45840215"/>
    <w:rsid w:val="4590263A"/>
    <w:rsid w:val="45A030CC"/>
    <w:rsid w:val="45C32520"/>
    <w:rsid w:val="45DC5A48"/>
    <w:rsid w:val="45DF0515"/>
    <w:rsid w:val="45E73BEE"/>
    <w:rsid w:val="45FE1427"/>
    <w:rsid w:val="465E6BDE"/>
    <w:rsid w:val="466107B9"/>
    <w:rsid w:val="46876D01"/>
    <w:rsid w:val="46941350"/>
    <w:rsid w:val="469E035B"/>
    <w:rsid w:val="469F29E3"/>
    <w:rsid w:val="46A319DB"/>
    <w:rsid w:val="46B950AE"/>
    <w:rsid w:val="46B95ABF"/>
    <w:rsid w:val="46C93071"/>
    <w:rsid w:val="471F09F9"/>
    <w:rsid w:val="47375B5A"/>
    <w:rsid w:val="47524F79"/>
    <w:rsid w:val="47593695"/>
    <w:rsid w:val="4761425F"/>
    <w:rsid w:val="477D42B7"/>
    <w:rsid w:val="47916136"/>
    <w:rsid w:val="47A32BDF"/>
    <w:rsid w:val="47AF609D"/>
    <w:rsid w:val="47C0450C"/>
    <w:rsid w:val="47C25566"/>
    <w:rsid w:val="47E517F7"/>
    <w:rsid w:val="48035531"/>
    <w:rsid w:val="48096275"/>
    <w:rsid w:val="480E307B"/>
    <w:rsid w:val="48641684"/>
    <w:rsid w:val="48AE4E91"/>
    <w:rsid w:val="48B21F7A"/>
    <w:rsid w:val="48C313E1"/>
    <w:rsid w:val="48CD51CA"/>
    <w:rsid w:val="48D54657"/>
    <w:rsid w:val="48D6719F"/>
    <w:rsid w:val="48ED16CF"/>
    <w:rsid w:val="4904340C"/>
    <w:rsid w:val="49055684"/>
    <w:rsid w:val="490611BF"/>
    <w:rsid w:val="492846FA"/>
    <w:rsid w:val="49665D3B"/>
    <w:rsid w:val="49676B7D"/>
    <w:rsid w:val="498222D8"/>
    <w:rsid w:val="499314FA"/>
    <w:rsid w:val="49B672E2"/>
    <w:rsid w:val="49D1637D"/>
    <w:rsid w:val="4A057E6B"/>
    <w:rsid w:val="4A0A4C78"/>
    <w:rsid w:val="4A2822FF"/>
    <w:rsid w:val="4A2C7856"/>
    <w:rsid w:val="4A4125A7"/>
    <w:rsid w:val="4A583CBE"/>
    <w:rsid w:val="4A6237B4"/>
    <w:rsid w:val="4A814F99"/>
    <w:rsid w:val="4A9D039C"/>
    <w:rsid w:val="4AF40370"/>
    <w:rsid w:val="4AF56D71"/>
    <w:rsid w:val="4AF94B77"/>
    <w:rsid w:val="4B132E4A"/>
    <w:rsid w:val="4B2846ED"/>
    <w:rsid w:val="4B3C29CE"/>
    <w:rsid w:val="4B5739D2"/>
    <w:rsid w:val="4B5F5CA7"/>
    <w:rsid w:val="4B8836D1"/>
    <w:rsid w:val="4BC01368"/>
    <w:rsid w:val="4BC50E1D"/>
    <w:rsid w:val="4BCC37B8"/>
    <w:rsid w:val="4BFA6DA3"/>
    <w:rsid w:val="4C1B713C"/>
    <w:rsid w:val="4C2D4456"/>
    <w:rsid w:val="4C37326D"/>
    <w:rsid w:val="4C3D0ADA"/>
    <w:rsid w:val="4C3D5B59"/>
    <w:rsid w:val="4C4A42B4"/>
    <w:rsid w:val="4C713CE9"/>
    <w:rsid w:val="4C76484D"/>
    <w:rsid w:val="4C7E3EBE"/>
    <w:rsid w:val="4C922648"/>
    <w:rsid w:val="4C975EAA"/>
    <w:rsid w:val="4CB15F74"/>
    <w:rsid w:val="4CC12CB3"/>
    <w:rsid w:val="4CE33636"/>
    <w:rsid w:val="4CE45B7C"/>
    <w:rsid w:val="4CF223DD"/>
    <w:rsid w:val="4CFC0268"/>
    <w:rsid w:val="4D1D02CA"/>
    <w:rsid w:val="4D2A3ADF"/>
    <w:rsid w:val="4D4225B0"/>
    <w:rsid w:val="4D5D58EE"/>
    <w:rsid w:val="4D6D11DE"/>
    <w:rsid w:val="4DC63C00"/>
    <w:rsid w:val="4DD31431"/>
    <w:rsid w:val="4DDF6D68"/>
    <w:rsid w:val="4DE6294C"/>
    <w:rsid w:val="4E1D10E6"/>
    <w:rsid w:val="4E4243B5"/>
    <w:rsid w:val="4E577292"/>
    <w:rsid w:val="4E5E3F87"/>
    <w:rsid w:val="4E5F29CE"/>
    <w:rsid w:val="4E7178D5"/>
    <w:rsid w:val="4E8C0079"/>
    <w:rsid w:val="4EC4794C"/>
    <w:rsid w:val="4ED2363C"/>
    <w:rsid w:val="4EF17CD7"/>
    <w:rsid w:val="4EF57DF4"/>
    <w:rsid w:val="4F095074"/>
    <w:rsid w:val="4F0A2F49"/>
    <w:rsid w:val="4F3647BD"/>
    <w:rsid w:val="4F414812"/>
    <w:rsid w:val="4F540594"/>
    <w:rsid w:val="4F64323B"/>
    <w:rsid w:val="4F767D3B"/>
    <w:rsid w:val="4FAB4627"/>
    <w:rsid w:val="4FD7291F"/>
    <w:rsid w:val="5019100B"/>
    <w:rsid w:val="506D74B1"/>
    <w:rsid w:val="508B6B1A"/>
    <w:rsid w:val="50C4024B"/>
    <w:rsid w:val="50DE54E3"/>
    <w:rsid w:val="50E121DF"/>
    <w:rsid w:val="50E823A6"/>
    <w:rsid w:val="50FE1437"/>
    <w:rsid w:val="510D2414"/>
    <w:rsid w:val="5145130E"/>
    <w:rsid w:val="51A030BB"/>
    <w:rsid w:val="51A039B1"/>
    <w:rsid w:val="51A34E2F"/>
    <w:rsid w:val="51FB00A5"/>
    <w:rsid w:val="52045E28"/>
    <w:rsid w:val="52186A29"/>
    <w:rsid w:val="52514230"/>
    <w:rsid w:val="527A6CB0"/>
    <w:rsid w:val="527D0408"/>
    <w:rsid w:val="52807674"/>
    <w:rsid w:val="5294522F"/>
    <w:rsid w:val="52B22082"/>
    <w:rsid w:val="52B82F69"/>
    <w:rsid w:val="52D500C4"/>
    <w:rsid w:val="52DD6AEA"/>
    <w:rsid w:val="52E773C8"/>
    <w:rsid w:val="52FA79BC"/>
    <w:rsid w:val="531174FB"/>
    <w:rsid w:val="5326702C"/>
    <w:rsid w:val="532A3E15"/>
    <w:rsid w:val="53756E04"/>
    <w:rsid w:val="539457F0"/>
    <w:rsid w:val="539B2537"/>
    <w:rsid w:val="53A01FA3"/>
    <w:rsid w:val="53DF4928"/>
    <w:rsid w:val="53E00E17"/>
    <w:rsid w:val="53F5213D"/>
    <w:rsid w:val="54174E6E"/>
    <w:rsid w:val="5428786B"/>
    <w:rsid w:val="542C74E6"/>
    <w:rsid w:val="542D74D1"/>
    <w:rsid w:val="543427E3"/>
    <w:rsid w:val="54425186"/>
    <w:rsid w:val="544E712D"/>
    <w:rsid w:val="54642984"/>
    <w:rsid w:val="54873751"/>
    <w:rsid w:val="548B182B"/>
    <w:rsid w:val="54CA526D"/>
    <w:rsid w:val="54D00982"/>
    <w:rsid w:val="54EB141C"/>
    <w:rsid w:val="55055E63"/>
    <w:rsid w:val="55166F3A"/>
    <w:rsid w:val="55277C9C"/>
    <w:rsid w:val="55585D97"/>
    <w:rsid w:val="558812FC"/>
    <w:rsid w:val="558A7297"/>
    <w:rsid w:val="55B50759"/>
    <w:rsid w:val="55CB3EE6"/>
    <w:rsid w:val="55E47AFC"/>
    <w:rsid w:val="56255F74"/>
    <w:rsid w:val="56334A63"/>
    <w:rsid w:val="563F6132"/>
    <w:rsid w:val="56465A7F"/>
    <w:rsid w:val="564E38C1"/>
    <w:rsid w:val="56B2413A"/>
    <w:rsid w:val="56BD5670"/>
    <w:rsid w:val="56C71AEB"/>
    <w:rsid w:val="56D97869"/>
    <w:rsid w:val="56EE25F6"/>
    <w:rsid w:val="57170A2C"/>
    <w:rsid w:val="573349FC"/>
    <w:rsid w:val="57A71327"/>
    <w:rsid w:val="57C154DE"/>
    <w:rsid w:val="57CC17DF"/>
    <w:rsid w:val="57D540ED"/>
    <w:rsid w:val="57DA6306"/>
    <w:rsid w:val="57EA1C1F"/>
    <w:rsid w:val="580E6DC2"/>
    <w:rsid w:val="58110056"/>
    <w:rsid w:val="583F6FDB"/>
    <w:rsid w:val="58573077"/>
    <w:rsid w:val="58835FD2"/>
    <w:rsid w:val="58871693"/>
    <w:rsid w:val="588747CB"/>
    <w:rsid w:val="58946EEF"/>
    <w:rsid w:val="589A7A8A"/>
    <w:rsid w:val="58B132BE"/>
    <w:rsid w:val="58B301DA"/>
    <w:rsid w:val="58BB3AE3"/>
    <w:rsid w:val="58DC6625"/>
    <w:rsid w:val="59087B65"/>
    <w:rsid w:val="595F20C6"/>
    <w:rsid w:val="59636728"/>
    <w:rsid w:val="598524F4"/>
    <w:rsid w:val="59BF2B77"/>
    <w:rsid w:val="59C74D20"/>
    <w:rsid w:val="59CC6603"/>
    <w:rsid w:val="59E2500A"/>
    <w:rsid w:val="59E9460B"/>
    <w:rsid w:val="59F77BA1"/>
    <w:rsid w:val="5A0F5F4D"/>
    <w:rsid w:val="5A3357B4"/>
    <w:rsid w:val="5A374DB9"/>
    <w:rsid w:val="5A5F2A82"/>
    <w:rsid w:val="5A6A421D"/>
    <w:rsid w:val="5A6D608F"/>
    <w:rsid w:val="5A9412D5"/>
    <w:rsid w:val="5A970BFE"/>
    <w:rsid w:val="5A9C32F9"/>
    <w:rsid w:val="5AA1667A"/>
    <w:rsid w:val="5AAE1C11"/>
    <w:rsid w:val="5AAE7320"/>
    <w:rsid w:val="5AB93151"/>
    <w:rsid w:val="5ACA5820"/>
    <w:rsid w:val="5AD02820"/>
    <w:rsid w:val="5AE865B5"/>
    <w:rsid w:val="5AE95AEA"/>
    <w:rsid w:val="5B2204FC"/>
    <w:rsid w:val="5B5E592D"/>
    <w:rsid w:val="5B5F7A13"/>
    <w:rsid w:val="5B6737DE"/>
    <w:rsid w:val="5B9913FF"/>
    <w:rsid w:val="5B9966B1"/>
    <w:rsid w:val="5B9E785B"/>
    <w:rsid w:val="5BE94967"/>
    <w:rsid w:val="5BEB536A"/>
    <w:rsid w:val="5BED734F"/>
    <w:rsid w:val="5C1473CA"/>
    <w:rsid w:val="5C1E200D"/>
    <w:rsid w:val="5C441A00"/>
    <w:rsid w:val="5C5B0B54"/>
    <w:rsid w:val="5C6D2F18"/>
    <w:rsid w:val="5C821DB6"/>
    <w:rsid w:val="5C9F6637"/>
    <w:rsid w:val="5CB54206"/>
    <w:rsid w:val="5CD60B74"/>
    <w:rsid w:val="5CD8004C"/>
    <w:rsid w:val="5CE11ECC"/>
    <w:rsid w:val="5D0D02AF"/>
    <w:rsid w:val="5D175B2D"/>
    <w:rsid w:val="5D233776"/>
    <w:rsid w:val="5D6E7F61"/>
    <w:rsid w:val="5D790CC3"/>
    <w:rsid w:val="5D8D231F"/>
    <w:rsid w:val="5DDB696D"/>
    <w:rsid w:val="5DDD4468"/>
    <w:rsid w:val="5E0877E3"/>
    <w:rsid w:val="5E1762C7"/>
    <w:rsid w:val="5E221F84"/>
    <w:rsid w:val="5E2324FE"/>
    <w:rsid w:val="5E5E1423"/>
    <w:rsid w:val="5E7C4610"/>
    <w:rsid w:val="5E967FA4"/>
    <w:rsid w:val="5EAE6EB6"/>
    <w:rsid w:val="5EC953EE"/>
    <w:rsid w:val="5F162B9B"/>
    <w:rsid w:val="5F1652CE"/>
    <w:rsid w:val="5F4F0E5B"/>
    <w:rsid w:val="5F605E21"/>
    <w:rsid w:val="5F786C6A"/>
    <w:rsid w:val="5F9370DF"/>
    <w:rsid w:val="5F977EBF"/>
    <w:rsid w:val="5FCA1D0B"/>
    <w:rsid w:val="5FD00BC8"/>
    <w:rsid w:val="5FDB068A"/>
    <w:rsid w:val="5FEB4029"/>
    <w:rsid w:val="600B035B"/>
    <w:rsid w:val="60111BED"/>
    <w:rsid w:val="60225304"/>
    <w:rsid w:val="603038C9"/>
    <w:rsid w:val="605340F6"/>
    <w:rsid w:val="608276C7"/>
    <w:rsid w:val="609B00F6"/>
    <w:rsid w:val="60A47149"/>
    <w:rsid w:val="60B152A2"/>
    <w:rsid w:val="60DE50D7"/>
    <w:rsid w:val="60E46AE0"/>
    <w:rsid w:val="60E94D82"/>
    <w:rsid w:val="60FD519E"/>
    <w:rsid w:val="611325AA"/>
    <w:rsid w:val="61174990"/>
    <w:rsid w:val="61481234"/>
    <w:rsid w:val="614E2973"/>
    <w:rsid w:val="614E3A03"/>
    <w:rsid w:val="61873516"/>
    <w:rsid w:val="61E90E59"/>
    <w:rsid w:val="61F33C77"/>
    <w:rsid w:val="6207366A"/>
    <w:rsid w:val="62080B18"/>
    <w:rsid w:val="62124CF8"/>
    <w:rsid w:val="621D1D8A"/>
    <w:rsid w:val="623324D7"/>
    <w:rsid w:val="62335EBF"/>
    <w:rsid w:val="623822A3"/>
    <w:rsid w:val="62524F1A"/>
    <w:rsid w:val="62A25ADB"/>
    <w:rsid w:val="62A33B19"/>
    <w:rsid w:val="62C221D9"/>
    <w:rsid w:val="62C922C7"/>
    <w:rsid w:val="62CF49B2"/>
    <w:rsid w:val="62D31E17"/>
    <w:rsid w:val="62DE6AB6"/>
    <w:rsid w:val="62DF706D"/>
    <w:rsid w:val="62E260BB"/>
    <w:rsid w:val="62F87A70"/>
    <w:rsid w:val="63140436"/>
    <w:rsid w:val="6322582E"/>
    <w:rsid w:val="632879D2"/>
    <w:rsid w:val="633A4805"/>
    <w:rsid w:val="63422399"/>
    <w:rsid w:val="6348174E"/>
    <w:rsid w:val="63571585"/>
    <w:rsid w:val="635D7E5E"/>
    <w:rsid w:val="637042A7"/>
    <w:rsid w:val="637D1191"/>
    <w:rsid w:val="6380151A"/>
    <w:rsid w:val="638C70EF"/>
    <w:rsid w:val="63977F39"/>
    <w:rsid w:val="63B7476C"/>
    <w:rsid w:val="63F045CF"/>
    <w:rsid w:val="63F26160"/>
    <w:rsid w:val="640716E3"/>
    <w:rsid w:val="643537FE"/>
    <w:rsid w:val="644E0AEC"/>
    <w:rsid w:val="647E734B"/>
    <w:rsid w:val="64854D3E"/>
    <w:rsid w:val="64A7093C"/>
    <w:rsid w:val="64AF2A7B"/>
    <w:rsid w:val="64D531C7"/>
    <w:rsid w:val="64EE4F1F"/>
    <w:rsid w:val="650D5F4A"/>
    <w:rsid w:val="65232EFE"/>
    <w:rsid w:val="653815ED"/>
    <w:rsid w:val="655928E7"/>
    <w:rsid w:val="656C1FFE"/>
    <w:rsid w:val="65791C02"/>
    <w:rsid w:val="657F43D4"/>
    <w:rsid w:val="659A0544"/>
    <w:rsid w:val="65B64857"/>
    <w:rsid w:val="65BA6608"/>
    <w:rsid w:val="65DD0B1F"/>
    <w:rsid w:val="660C0EA0"/>
    <w:rsid w:val="662E59B9"/>
    <w:rsid w:val="66376B92"/>
    <w:rsid w:val="665B5E69"/>
    <w:rsid w:val="668550DB"/>
    <w:rsid w:val="669703CA"/>
    <w:rsid w:val="66C22723"/>
    <w:rsid w:val="66CE67BB"/>
    <w:rsid w:val="66CE6F1E"/>
    <w:rsid w:val="66D631E3"/>
    <w:rsid w:val="66EB278A"/>
    <w:rsid w:val="66F45ADE"/>
    <w:rsid w:val="66F85375"/>
    <w:rsid w:val="66FA71E3"/>
    <w:rsid w:val="6701565A"/>
    <w:rsid w:val="67765A9A"/>
    <w:rsid w:val="678E6B41"/>
    <w:rsid w:val="679773E9"/>
    <w:rsid w:val="67AB61D9"/>
    <w:rsid w:val="67BD0D54"/>
    <w:rsid w:val="67E6013F"/>
    <w:rsid w:val="67E95130"/>
    <w:rsid w:val="67EB3EBF"/>
    <w:rsid w:val="682B688C"/>
    <w:rsid w:val="68383856"/>
    <w:rsid w:val="683C3F47"/>
    <w:rsid w:val="6844387B"/>
    <w:rsid w:val="685179D9"/>
    <w:rsid w:val="6873211D"/>
    <w:rsid w:val="68757609"/>
    <w:rsid w:val="68880592"/>
    <w:rsid w:val="688A269D"/>
    <w:rsid w:val="6899012E"/>
    <w:rsid w:val="68A94933"/>
    <w:rsid w:val="68BA525F"/>
    <w:rsid w:val="68C34939"/>
    <w:rsid w:val="68CA7028"/>
    <w:rsid w:val="68E62666"/>
    <w:rsid w:val="69107626"/>
    <w:rsid w:val="691A1EA1"/>
    <w:rsid w:val="691C1E8A"/>
    <w:rsid w:val="69472165"/>
    <w:rsid w:val="6952079F"/>
    <w:rsid w:val="697623AC"/>
    <w:rsid w:val="697B0C49"/>
    <w:rsid w:val="699903BD"/>
    <w:rsid w:val="69DD0609"/>
    <w:rsid w:val="6A0B21FD"/>
    <w:rsid w:val="6A51309A"/>
    <w:rsid w:val="6A7376AA"/>
    <w:rsid w:val="6A744354"/>
    <w:rsid w:val="6A7E16DC"/>
    <w:rsid w:val="6AA24134"/>
    <w:rsid w:val="6AA26570"/>
    <w:rsid w:val="6AAF77DC"/>
    <w:rsid w:val="6AE659FB"/>
    <w:rsid w:val="6B0872D9"/>
    <w:rsid w:val="6B113DBC"/>
    <w:rsid w:val="6B370F28"/>
    <w:rsid w:val="6B432FC3"/>
    <w:rsid w:val="6B4528AF"/>
    <w:rsid w:val="6B470D94"/>
    <w:rsid w:val="6B814003"/>
    <w:rsid w:val="6B833D58"/>
    <w:rsid w:val="6B875950"/>
    <w:rsid w:val="6B8D50EC"/>
    <w:rsid w:val="6BA75EC4"/>
    <w:rsid w:val="6BAD4A62"/>
    <w:rsid w:val="6BCA6093"/>
    <w:rsid w:val="6BFB3FB7"/>
    <w:rsid w:val="6C13171F"/>
    <w:rsid w:val="6C267C0E"/>
    <w:rsid w:val="6C2709D9"/>
    <w:rsid w:val="6C2C2110"/>
    <w:rsid w:val="6C3078F9"/>
    <w:rsid w:val="6C47215F"/>
    <w:rsid w:val="6C5A177A"/>
    <w:rsid w:val="6C627982"/>
    <w:rsid w:val="6CCF5389"/>
    <w:rsid w:val="6CE970EE"/>
    <w:rsid w:val="6CEA4B2E"/>
    <w:rsid w:val="6CEF2B8B"/>
    <w:rsid w:val="6CEF4898"/>
    <w:rsid w:val="6D206F63"/>
    <w:rsid w:val="6D240DFC"/>
    <w:rsid w:val="6D5B45F5"/>
    <w:rsid w:val="6D78582C"/>
    <w:rsid w:val="6DA437B0"/>
    <w:rsid w:val="6DBC714E"/>
    <w:rsid w:val="6DCE2FE8"/>
    <w:rsid w:val="6DD23E60"/>
    <w:rsid w:val="6DEE7761"/>
    <w:rsid w:val="6E1F5B2C"/>
    <w:rsid w:val="6E2C4628"/>
    <w:rsid w:val="6E2E6243"/>
    <w:rsid w:val="6E844A07"/>
    <w:rsid w:val="6E850B27"/>
    <w:rsid w:val="6E8F30EF"/>
    <w:rsid w:val="6E9A240B"/>
    <w:rsid w:val="6E9A354D"/>
    <w:rsid w:val="6EAD0B01"/>
    <w:rsid w:val="6EC13ADF"/>
    <w:rsid w:val="6EC15AB9"/>
    <w:rsid w:val="6EC45A6D"/>
    <w:rsid w:val="6EF7085D"/>
    <w:rsid w:val="6EF95B84"/>
    <w:rsid w:val="6F111BF8"/>
    <w:rsid w:val="6F1A75B1"/>
    <w:rsid w:val="6F2843E1"/>
    <w:rsid w:val="6F323B92"/>
    <w:rsid w:val="6F361C7B"/>
    <w:rsid w:val="6F4F1FFE"/>
    <w:rsid w:val="6F6336E8"/>
    <w:rsid w:val="6F893E2B"/>
    <w:rsid w:val="6F8D1ED7"/>
    <w:rsid w:val="6F9655DA"/>
    <w:rsid w:val="6FA117B5"/>
    <w:rsid w:val="6FB35107"/>
    <w:rsid w:val="6FBB2FFC"/>
    <w:rsid w:val="6FD60158"/>
    <w:rsid w:val="6FF6453E"/>
    <w:rsid w:val="70170DA1"/>
    <w:rsid w:val="702E52F3"/>
    <w:rsid w:val="70743BF4"/>
    <w:rsid w:val="708E29B3"/>
    <w:rsid w:val="70D93DC5"/>
    <w:rsid w:val="70DB6285"/>
    <w:rsid w:val="70F214A4"/>
    <w:rsid w:val="70F64864"/>
    <w:rsid w:val="70FC2E78"/>
    <w:rsid w:val="71150E82"/>
    <w:rsid w:val="711549BD"/>
    <w:rsid w:val="7138696B"/>
    <w:rsid w:val="715C7557"/>
    <w:rsid w:val="71686382"/>
    <w:rsid w:val="717B486F"/>
    <w:rsid w:val="718257BE"/>
    <w:rsid w:val="718755E5"/>
    <w:rsid w:val="71C05A12"/>
    <w:rsid w:val="722C7057"/>
    <w:rsid w:val="72332F31"/>
    <w:rsid w:val="723D1AD5"/>
    <w:rsid w:val="72501C1D"/>
    <w:rsid w:val="726F4BA9"/>
    <w:rsid w:val="7271263A"/>
    <w:rsid w:val="72870AC5"/>
    <w:rsid w:val="72DF594F"/>
    <w:rsid w:val="72E00F76"/>
    <w:rsid w:val="72E05544"/>
    <w:rsid w:val="72EE7443"/>
    <w:rsid w:val="733D3949"/>
    <w:rsid w:val="7346557D"/>
    <w:rsid w:val="735207A1"/>
    <w:rsid w:val="73955621"/>
    <w:rsid w:val="73A422EE"/>
    <w:rsid w:val="73AC28DE"/>
    <w:rsid w:val="73BC1D1D"/>
    <w:rsid w:val="74063A79"/>
    <w:rsid w:val="74144B5B"/>
    <w:rsid w:val="741E4AC3"/>
    <w:rsid w:val="744732DD"/>
    <w:rsid w:val="746549E0"/>
    <w:rsid w:val="747A2C32"/>
    <w:rsid w:val="74A97E45"/>
    <w:rsid w:val="74B53249"/>
    <w:rsid w:val="74CE6F7F"/>
    <w:rsid w:val="74EA412A"/>
    <w:rsid w:val="74F07D94"/>
    <w:rsid w:val="750349EC"/>
    <w:rsid w:val="75061B03"/>
    <w:rsid w:val="750E57A4"/>
    <w:rsid w:val="751A4F91"/>
    <w:rsid w:val="752D4B53"/>
    <w:rsid w:val="755844C3"/>
    <w:rsid w:val="757B01B4"/>
    <w:rsid w:val="7587089D"/>
    <w:rsid w:val="758927E4"/>
    <w:rsid w:val="759E474B"/>
    <w:rsid w:val="75AD14F5"/>
    <w:rsid w:val="75C3417B"/>
    <w:rsid w:val="75F51C1B"/>
    <w:rsid w:val="76015676"/>
    <w:rsid w:val="76127810"/>
    <w:rsid w:val="76375BC7"/>
    <w:rsid w:val="763B7A81"/>
    <w:rsid w:val="76411EAF"/>
    <w:rsid w:val="764672A5"/>
    <w:rsid w:val="765B4677"/>
    <w:rsid w:val="765C1685"/>
    <w:rsid w:val="766478BA"/>
    <w:rsid w:val="76B94368"/>
    <w:rsid w:val="76D128DB"/>
    <w:rsid w:val="76F253DB"/>
    <w:rsid w:val="77126348"/>
    <w:rsid w:val="771F39ED"/>
    <w:rsid w:val="7731767F"/>
    <w:rsid w:val="77494DED"/>
    <w:rsid w:val="774F1A55"/>
    <w:rsid w:val="77670EDD"/>
    <w:rsid w:val="77785A5B"/>
    <w:rsid w:val="779B6354"/>
    <w:rsid w:val="77C851B4"/>
    <w:rsid w:val="77CB771D"/>
    <w:rsid w:val="77E803F0"/>
    <w:rsid w:val="77F20727"/>
    <w:rsid w:val="77F77A4E"/>
    <w:rsid w:val="782C033D"/>
    <w:rsid w:val="7832113E"/>
    <w:rsid w:val="78332F4A"/>
    <w:rsid w:val="784C125C"/>
    <w:rsid w:val="784C4EC7"/>
    <w:rsid w:val="786A2A41"/>
    <w:rsid w:val="787E37D9"/>
    <w:rsid w:val="788B2EB2"/>
    <w:rsid w:val="788D72D1"/>
    <w:rsid w:val="7893329F"/>
    <w:rsid w:val="78A30914"/>
    <w:rsid w:val="78CB2AD6"/>
    <w:rsid w:val="790C0711"/>
    <w:rsid w:val="79155B82"/>
    <w:rsid w:val="796E07F6"/>
    <w:rsid w:val="797B5E54"/>
    <w:rsid w:val="798617C0"/>
    <w:rsid w:val="79AC2AB3"/>
    <w:rsid w:val="79B010D1"/>
    <w:rsid w:val="79E34906"/>
    <w:rsid w:val="79E941B1"/>
    <w:rsid w:val="79EE669E"/>
    <w:rsid w:val="79FB36F6"/>
    <w:rsid w:val="7A3E58FC"/>
    <w:rsid w:val="7A4A214E"/>
    <w:rsid w:val="7A796415"/>
    <w:rsid w:val="7AA3189F"/>
    <w:rsid w:val="7AB66E49"/>
    <w:rsid w:val="7AB92659"/>
    <w:rsid w:val="7ACF28C2"/>
    <w:rsid w:val="7ADC3238"/>
    <w:rsid w:val="7B316039"/>
    <w:rsid w:val="7B3E649C"/>
    <w:rsid w:val="7B9222C7"/>
    <w:rsid w:val="7BAC5505"/>
    <w:rsid w:val="7BC12C7C"/>
    <w:rsid w:val="7BD30544"/>
    <w:rsid w:val="7BDF4E52"/>
    <w:rsid w:val="7C4A4ED1"/>
    <w:rsid w:val="7C672899"/>
    <w:rsid w:val="7CA0545C"/>
    <w:rsid w:val="7CA57665"/>
    <w:rsid w:val="7CAB44EC"/>
    <w:rsid w:val="7CF941FD"/>
    <w:rsid w:val="7D053BF2"/>
    <w:rsid w:val="7D2A66A0"/>
    <w:rsid w:val="7DC903E0"/>
    <w:rsid w:val="7DEE2028"/>
    <w:rsid w:val="7E117104"/>
    <w:rsid w:val="7E150331"/>
    <w:rsid w:val="7E387D8E"/>
    <w:rsid w:val="7E44564D"/>
    <w:rsid w:val="7E86326F"/>
    <w:rsid w:val="7EA9424E"/>
    <w:rsid w:val="7EAA72E2"/>
    <w:rsid w:val="7EAD2D3F"/>
    <w:rsid w:val="7EC53FD0"/>
    <w:rsid w:val="7EDF38ED"/>
    <w:rsid w:val="7EEC1DCB"/>
    <w:rsid w:val="7F016B19"/>
    <w:rsid w:val="7F0F0C91"/>
    <w:rsid w:val="7F0F1F32"/>
    <w:rsid w:val="7F520389"/>
    <w:rsid w:val="7F9176DE"/>
    <w:rsid w:val="7F9C33C8"/>
    <w:rsid w:val="7FA40E3D"/>
    <w:rsid w:val="7FAC355B"/>
    <w:rsid w:val="7FB34ED9"/>
    <w:rsid w:val="7FBE0B74"/>
    <w:rsid w:val="7FC42A33"/>
    <w:rsid w:val="7FD370FA"/>
    <w:rsid w:val="7FD84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440" w:firstLineChars="200"/>
    </w:pPr>
    <w:rPr>
      <w:rFonts w:ascii="微软雅黑" w:hAnsi="微软雅黑" w:eastAsia="微软雅黑" w:cs="Times New Roman"/>
      <w:kern w:val="2"/>
      <w:sz w:val="21"/>
      <w:szCs w:val="21"/>
      <w:lang w:val="en-US" w:eastAsia="zh-CN" w:bidi="ar-SA"/>
    </w:rPr>
  </w:style>
  <w:style w:type="paragraph" w:styleId="2">
    <w:name w:val="heading 1"/>
    <w:basedOn w:val="1"/>
    <w:next w:val="1"/>
    <w:link w:val="32"/>
    <w:qFormat/>
    <w:uiPriority w:val="0"/>
    <w:pPr>
      <w:keepNext/>
      <w:keepLines/>
      <w:numPr>
        <w:ilvl w:val="0"/>
        <w:numId w:val="1"/>
      </w:numPr>
      <w:spacing w:before="80" w:after="80"/>
      <w:ind w:left="0" w:firstLine="0" w:firstLineChars="0"/>
      <w:outlineLvl w:val="0"/>
    </w:pPr>
    <w:rPr>
      <w:rFonts w:eastAsia="黑体"/>
      <w:b/>
      <w:bCs/>
      <w:kern w:val="44"/>
      <w:sz w:val="32"/>
      <w:szCs w:val="44"/>
    </w:rPr>
  </w:style>
  <w:style w:type="paragraph" w:styleId="3">
    <w:name w:val="heading 2"/>
    <w:basedOn w:val="1"/>
    <w:next w:val="1"/>
    <w:link w:val="27"/>
    <w:unhideWhenUsed/>
    <w:qFormat/>
    <w:uiPriority w:val="0"/>
    <w:pPr>
      <w:keepNext/>
      <w:keepLines/>
      <w:numPr>
        <w:ilvl w:val="1"/>
        <w:numId w:val="1"/>
      </w:numPr>
      <w:tabs>
        <w:tab w:val="left" w:pos="425"/>
      </w:tabs>
      <w:spacing w:before="120" w:after="120"/>
      <w:ind w:left="210" w:leftChars="100" w:firstLine="0" w:firstLineChars="0"/>
      <w:outlineLvl w:val="1"/>
    </w:pPr>
    <w:rPr>
      <w:rFonts w:ascii="微软雅黑" w:hAnsi="微软雅黑"/>
      <w:bCs/>
      <w:sz w:val="28"/>
      <w:szCs w:val="28"/>
    </w:rPr>
  </w:style>
  <w:style w:type="paragraph" w:styleId="4">
    <w:name w:val="heading 3"/>
    <w:basedOn w:val="1"/>
    <w:next w:val="1"/>
    <w:link w:val="26"/>
    <w:unhideWhenUsed/>
    <w:qFormat/>
    <w:uiPriority w:val="0"/>
    <w:pPr>
      <w:keepLines/>
      <w:numPr>
        <w:ilvl w:val="2"/>
        <w:numId w:val="1"/>
      </w:numPr>
      <w:tabs>
        <w:tab w:val="left" w:pos="0"/>
        <w:tab w:val="left" w:pos="425"/>
        <w:tab w:val="left" w:pos="5897"/>
      </w:tabs>
      <w:bidi w:val="0"/>
      <w:adjustRightInd/>
      <w:spacing w:before="100" w:beforeLines="100" w:after="50" w:afterLines="50"/>
      <w:ind w:left="907" w:leftChars="0" w:hanging="794"/>
      <w:jc w:val="left"/>
      <w:outlineLvl w:val="2"/>
    </w:pPr>
    <w:rPr>
      <w:rFonts w:ascii="Courier New" w:hAnsi="Courier New" w:eastAsia="黑体"/>
      <w:b/>
      <w:bCs/>
      <w:sz w:val="24"/>
      <w:szCs w:val="32"/>
    </w:rPr>
  </w:style>
  <w:style w:type="paragraph" w:styleId="5">
    <w:name w:val="heading 4"/>
    <w:basedOn w:val="1"/>
    <w:next w:val="1"/>
    <w:link w:val="28"/>
    <w:semiHidden/>
    <w:unhideWhenUsed/>
    <w:qFormat/>
    <w:uiPriority w:val="0"/>
    <w:pPr>
      <w:keepLines/>
      <w:numPr>
        <w:ilvl w:val="3"/>
        <w:numId w:val="1"/>
      </w:numPr>
      <w:tabs>
        <w:tab w:val="left" w:pos="0"/>
        <w:tab w:val="left" w:pos="105"/>
      </w:tabs>
      <w:adjustRightInd/>
      <w:snapToGrid/>
      <w:spacing w:before="100" w:beforeLines="100" w:after="50" w:afterLines="50"/>
      <w:ind w:left="1247" w:hanging="963"/>
      <w:outlineLvl w:val="3"/>
    </w:pPr>
    <w:rPr>
      <w:rFonts w:ascii="Courier New" w:hAnsi="Courier New" w:eastAsia="黑体"/>
      <w:b/>
      <w:bCs/>
      <w:sz w:val="24"/>
    </w:rPr>
  </w:style>
  <w:style w:type="paragraph" w:styleId="6">
    <w:name w:val="heading 5"/>
    <w:basedOn w:val="1"/>
    <w:next w:val="1"/>
    <w:semiHidden/>
    <w:unhideWhenUsed/>
    <w:qFormat/>
    <w:uiPriority w:val="0"/>
    <w:pPr>
      <w:keepNext/>
      <w:keepLines/>
      <w:numPr>
        <w:ilvl w:val="4"/>
        <w:numId w:val="2"/>
      </w:numPr>
      <w:spacing w:before="280" w:beforeLines="0" w:beforeAutospacing="0" w:after="290" w:afterLines="0" w:afterAutospacing="0" w:line="372" w:lineRule="auto"/>
      <w:ind w:left="1008" w:hanging="1008"/>
      <w:outlineLvl w:val="4"/>
    </w:pPr>
    <w:rPr>
      <w:rFonts w:ascii="Courier New" w:hAnsi="Courier New" w:eastAsia="黑体"/>
      <w:b/>
    </w:rPr>
  </w:style>
  <w:style w:type="paragraph" w:styleId="7">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9">
    <w:name w:val="Default Paragraph Font"/>
    <w:semiHidden/>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footer"/>
    <w:basedOn w:val="1"/>
    <w:qFormat/>
    <w:uiPriority w:val="99"/>
    <w:pPr>
      <w:tabs>
        <w:tab w:val="center" w:pos="4153"/>
        <w:tab w:val="right" w:pos="8306"/>
      </w:tabs>
      <w:snapToGrid w:val="0"/>
    </w:pPr>
    <w:rPr>
      <w:sz w:val="18"/>
      <w:szCs w:val="18"/>
    </w:rPr>
  </w:style>
  <w:style w:type="paragraph" w:styleId="13">
    <w:name w:val="header"/>
    <w:basedOn w:val="1"/>
    <w:qFormat/>
    <w:uiPriority w:val="99"/>
    <w:pPr>
      <w:pBdr>
        <w:bottom w:val="single" w:color="auto" w:sz="6" w:space="1"/>
      </w:pBdr>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qFormat/>
    <w:uiPriority w:val="0"/>
    <w:rPr>
      <w:i/>
    </w:rPr>
  </w:style>
  <w:style w:type="paragraph" w:customStyle="1" w:styleId="21">
    <w:name w:val="项目文本"/>
    <w:basedOn w:val="1"/>
    <w:qFormat/>
    <w:uiPriority w:val="0"/>
    <w:pPr>
      <w:numPr>
        <w:ilvl w:val="4"/>
        <w:numId w:val="1"/>
      </w:numPr>
      <w:ind w:left="1134" w:hanging="567"/>
    </w:pPr>
  </w:style>
  <w:style w:type="paragraph" w:customStyle="1" w:styleId="22">
    <w:name w:val="项目文本2"/>
    <w:basedOn w:val="1"/>
    <w:qFormat/>
    <w:uiPriority w:val="0"/>
    <w:pPr>
      <w:numPr>
        <w:ilvl w:val="5"/>
        <w:numId w:val="1"/>
      </w:numPr>
      <w:ind w:left="1247" w:hanging="340"/>
    </w:pPr>
  </w:style>
  <w:style w:type="paragraph" w:customStyle="1" w:styleId="23">
    <w:name w:val="项目文本3"/>
    <w:basedOn w:val="1"/>
    <w:qFormat/>
    <w:uiPriority w:val="0"/>
    <w:pPr>
      <w:numPr>
        <w:ilvl w:val="6"/>
        <w:numId w:val="1"/>
      </w:numPr>
      <w:ind w:left="1474" w:hanging="340"/>
    </w:pPr>
  </w:style>
  <w:style w:type="paragraph" w:customStyle="1" w:styleId="24">
    <w:name w:val="项目文本4"/>
    <w:basedOn w:val="1"/>
    <w:link w:val="33"/>
    <w:qFormat/>
    <w:uiPriority w:val="0"/>
    <w:pPr>
      <w:numPr>
        <w:ilvl w:val="7"/>
        <w:numId w:val="1"/>
      </w:numPr>
      <w:ind w:left="1701" w:hanging="340"/>
    </w:pPr>
  </w:style>
  <w:style w:type="paragraph" w:customStyle="1" w:styleId="25">
    <w:name w:val="注释"/>
    <w:basedOn w:val="1"/>
    <w:qFormat/>
    <w:uiPriority w:val="0"/>
    <w:pPr>
      <w:ind w:left="0" w:leftChars="0" w:firstLine="0" w:firstLineChars="0"/>
    </w:pPr>
    <w:rPr>
      <w:rFonts w:eastAsia="楷体"/>
    </w:rPr>
  </w:style>
  <w:style w:type="character" w:customStyle="1" w:styleId="26">
    <w:name w:val="标题 3 Char"/>
    <w:link w:val="4"/>
    <w:qFormat/>
    <w:uiPriority w:val="0"/>
    <w:rPr>
      <w:rFonts w:ascii="Courier New" w:hAnsi="Courier New" w:eastAsia="黑体"/>
      <w:b/>
      <w:bCs/>
      <w:w w:val="100"/>
      <w:kern w:val="2"/>
      <w:sz w:val="24"/>
      <w:szCs w:val="32"/>
    </w:rPr>
  </w:style>
  <w:style w:type="character" w:customStyle="1" w:styleId="27">
    <w:name w:val="标题 2 Char"/>
    <w:link w:val="3"/>
    <w:qFormat/>
    <w:uiPriority w:val="0"/>
    <w:rPr>
      <w:rFonts w:ascii="微软雅黑" w:hAnsi="微软雅黑" w:eastAsia="微软雅黑"/>
      <w:bCs/>
      <w:kern w:val="2"/>
      <w:sz w:val="28"/>
      <w:szCs w:val="28"/>
    </w:rPr>
  </w:style>
  <w:style w:type="character" w:customStyle="1" w:styleId="28">
    <w:name w:val="标题 4 Char"/>
    <w:basedOn w:val="19"/>
    <w:link w:val="5"/>
    <w:qFormat/>
    <w:uiPriority w:val="0"/>
    <w:rPr>
      <w:rFonts w:ascii="Courier New" w:hAnsi="Courier New" w:eastAsia="黑体"/>
      <w:b/>
      <w:bCs/>
      <w:kern w:val="2"/>
      <w:sz w:val="24"/>
      <w:szCs w:val="21"/>
    </w:rPr>
  </w:style>
  <w:style w:type="paragraph" w:customStyle="1" w:styleId="29">
    <w:name w:val="标题3"/>
    <w:basedOn w:val="1"/>
    <w:next w:val="1"/>
    <w:qFormat/>
    <w:uiPriority w:val="0"/>
    <w:pPr>
      <w:keepLines/>
      <w:outlineLvl w:val="2"/>
    </w:pPr>
    <w:rPr>
      <w:rFonts w:ascii="Courier New" w:hAnsi="Courier New" w:eastAsia="微软雅黑"/>
    </w:rPr>
  </w:style>
  <w:style w:type="paragraph" w:customStyle="1" w:styleId="30">
    <w:name w:val="TOC 标题1"/>
    <w:basedOn w:val="2"/>
    <w:next w:val="1"/>
    <w:unhideWhenUsed/>
    <w:qFormat/>
    <w:uiPriority w:val="39"/>
    <w:pPr>
      <w:widowControl/>
      <w:numPr>
        <w:numId w:val="0"/>
      </w:numPr>
      <w:spacing w:before="480" w:after="0" w:line="276" w:lineRule="auto"/>
      <w:outlineLvl w:val="9"/>
    </w:pPr>
    <w:rPr>
      <w:rFonts w:asciiTheme="majorHAnsi" w:hAnsiTheme="majorHAnsi" w:eastAsiaTheme="majorEastAsia" w:cstheme="majorBidi"/>
      <w:color w:val="2E75B6" w:themeColor="accent1" w:themeShade="BF"/>
      <w:kern w:val="0"/>
      <w:sz w:val="28"/>
      <w:szCs w:val="28"/>
    </w:rPr>
  </w:style>
  <w:style w:type="table" w:customStyle="1" w:styleId="31">
    <w:name w:val="Grid Table 1 Light"/>
    <w:basedOn w:val="17"/>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32">
    <w:name w:val="标题 1 Char"/>
    <w:link w:val="2"/>
    <w:qFormat/>
    <w:uiPriority w:val="0"/>
    <w:rPr>
      <w:rFonts w:eastAsia="黑体"/>
      <w:b/>
      <w:bCs/>
      <w:kern w:val="44"/>
      <w:sz w:val="32"/>
      <w:szCs w:val="44"/>
    </w:rPr>
  </w:style>
  <w:style w:type="character" w:customStyle="1" w:styleId="33">
    <w:name w:val="项目文本4 Char"/>
    <w:link w:val="24"/>
    <w:qFormat/>
    <w:uiPriority w:val="0"/>
  </w:style>
  <w:style w:type="paragraph" w:styleId="3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618afc-93bd-40bc-b1af-e26058cbce99}"/>
        <w:style w:val=""/>
        <w:category>
          <w:name w:val="常规"/>
          <w:gallery w:val="placeholder"/>
        </w:category>
        <w:types>
          <w:type w:val="bbPlcHdr"/>
        </w:types>
        <w:behaviors>
          <w:behavior w:val="content"/>
        </w:behaviors>
        <w:description w:val=""/>
        <w:guid w:val="{de618afc-93bd-40bc-b1af-e26058cbce99}"/>
      </w:docPartPr>
      <w:docPartBody>
        <w:p>
          <w:pPr>
            <w:pStyle w:val="2"/>
          </w:pPr>
          <w:r>
            <w:rPr>
              <w:rStyle w:val="3"/>
              <w:rFonts w:hint="eastAsia"/>
            </w:rPr>
            <w:t>[单位]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1" w:name="Default Paragraph Font"/>
  </w:latentStyles>
  <w:style w:type="character" w:default="1" w:styleId="1">
    <w:name w:val="Default Paragraph Font"/>
    <w:semiHidden/>
    <w:unhideWhenUsed/>
    <w:qFormat/>
    <w:uiPriority w:val="1"/>
  </w:style>
  <w:style w:type="paragraph" w:customStyle="1" w:styleId="2">
    <w:name w:val="45E3494440DE4EB2BD8F25234257A9C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3">
    <w:name w:val="占位符文本1"/>
    <w:basedOn w:val="1"/>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南京典骋科技有限公司</Company>
  <Pages>1</Pages>
  <Words>0</Words>
  <Characters>0</Characters>
  <Lines>0</Lines>
  <Paragraphs>0</Paragraphs>
  <TotalTime>98</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2020-09-02T02:54:00Z</dcterms:created>
  <dc:creator>Administrator</dc:creator>
  <cp:lastModifiedBy>Liuyuan</cp:lastModifiedBy>
  <dcterms:modified xsi:type="dcterms:W3CDTF">2022-12-09T08:59:50Z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9958B246E9294DBBB3071D6B04FBF975</vt:lpwstr>
  </property>
</Properties>
</file>