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江苏城市职业学院五年制高职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2017级会计专业201</w:t>
      </w:r>
      <w:r>
        <w:rPr>
          <w:rFonts w:hint="eastAsia" w:eastAsia="黑体"/>
          <w:sz w:val="28"/>
          <w:szCs w:val="28"/>
          <w:lang w:val="en-US" w:eastAsia="zh-CN"/>
        </w:rPr>
        <w:t>8</w:t>
      </w:r>
      <w:r>
        <w:rPr>
          <w:rFonts w:eastAsia="黑体"/>
          <w:sz w:val="28"/>
          <w:szCs w:val="28"/>
        </w:rPr>
        <w:t>-201</w:t>
      </w:r>
      <w:r>
        <w:rPr>
          <w:rFonts w:hint="eastAsia" w:eastAsia="黑体"/>
          <w:sz w:val="28"/>
          <w:szCs w:val="28"/>
          <w:lang w:val="en-US" w:eastAsia="zh-CN"/>
        </w:rPr>
        <w:t>9</w:t>
      </w:r>
      <w:r>
        <w:rPr>
          <w:rFonts w:eastAsia="黑体"/>
          <w:sz w:val="28"/>
          <w:szCs w:val="28"/>
        </w:rPr>
        <w:t>学年度第</w:t>
      </w:r>
      <w:r>
        <w:rPr>
          <w:rFonts w:hint="eastAsia" w:eastAsia="黑体"/>
          <w:sz w:val="28"/>
          <w:szCs w:val="28"/>
          <w:lang w:eastAsia="zh-CN"/>
        </w:rPr>
        <w:t>一</w:t>
      </w:r>
      <w:bookmarkStart w:id="0" w:name="_GoBack"/>
      <w:bookmarkEnd w:id="0"/>
      <w:r>
        <w:rPr>
          <w:rFonts w:eastAsia="黑体"/>
          <w:sz w:val="28"/>
          <w:szCs w:val="28"/>
        </w:rPr>
        <w:t>学期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《企业财务会计实务1》期末复习提纲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一、复习依据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《企业财务会计实务1》课程以《企业财务会计(第三版)》（高等教育出版社出版，孔德兰主编）是课程教学的主要媒体和基本依据。配套教材《企业财务会计实训》（高等教育出版社出版，孔德兰主编）是课程实践教学的主要资源。会计实训教材以各校的校本教材为基础，进行会计凭证、会计账簿和会计报表的编制的综合项目实训为依据。紧扣《江苏城市职业学院五年制高职&lt;企业财务会计实务&gt;1课程教学要求》进行复习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《企业财务会计实务》1复习题库是根据江苏城市职业学院五年制高职2017级《企业财务会计实务》1教学要求和2017级会计专业2018-2019学年度第一学期《企业财务会计实务》1期末复习提纲进行编制（题库另附）。</w:t>
      </w:r>
    </w:p>
    <w:p>
      <w:pPr>
        <w:spacing w:line="360" w:lineRule="auto"/>
        <w:ind w:firstLine="480"/>
        <w:rPr>
          <w:sz w:val="24"/>
        </w:rPr>
      </w:pPr>
      <w:r>
        <w:rPr>
          <w:b/>
          <w:sz w:val="24"/>
        </w:rPr>
        <w:t>二、考试题型及分值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1.单项选择题（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0分，每小题1分。在每小题的4个备选答案中，选出1个正确的答案）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2.多项选择题（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0分，每小题2分。在每小题的4个备选答案中，选出2个或2个以上正确的答案。多选、错选、漏选均不得分）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3.判断题（10分，每小题1分。你认为正确的打“√”，错误的打“×”）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4.不定项选择题（10分</w:t>
      </w:r>
      <w:r>
        <w:rPr>
          <w:rFonts w:hint="eastAsia"/>
          <w:sz w:val="24"/>
          <w:lang w:eastAsia="zh-CN"/>
        </w:rPr>
        <w:t>，</w:t>
      </w:r>
      <w:r>
        <w:rPr>
          <w:sz w:val="24"/>
        </w:rPr>
        <w:t>每小题2分。</w:t>
      </w:r>
      <w:r>
        <w:rPr>
          <w:sz w:val="24"/>
          <w:lang w:val="zh-CN"/>
        </w:rPr>
        <w:t>每题至少有一个正确选项</w:t>
      </w:r>
      <w:r>
        <w:rPr>
          <w:sz w:val="24"/>
        </w:rPr>
        <w:t>）</w:t>
      </w:r>
    </w:p>
    <w:p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lang w:val="en-US" w:eastAsia="zh-CN"/>
        </w:rPr>
        <w:t>5.</w:t>
      </w:r>
      <w:r>
        <w:rPr>
          <w:sz w:val="24"/>
        </w:rPr>
        <w:t>实务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题（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50分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480"/>
        <w:rPr>
          <w:b/>
          <w:sz w:val="24"/>
        </w:rPr>
      </w:pPr>
      <w:r>
        <w:rPr>
          <w:b/>
          <w:sz w:val="24"/>
        </w:rPr>
        <w:t>三、考试形式及时间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考试形式：闭卷笔试。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考试时间：</w:t>
      </w:r>
      <w:r>
        <w:rPr>
          <w:color w:val="FF0000"/>
          <w:sz w:val="24"/>
        </w:rPr>
        <w:t>90</w:t>
      </w:r>
      <w:r>
        <w:rPr>
          <w:sz w:val="24"/>
        </w:rPr>
        <w:t>分钟</w:t>
      </w:r>
    </w:p>
    <w:p>
      <w:pPr>
        <w:spacing w:line="360" w:lineRule="auto"/>
        <w:ind w:firstLine="480"/>
        <w:rPr>
          <w:b/>
          <w:sz w:val="24"/>
        </w:rPr>
      </w:pPr>
      <w:r>
        <w:rPr>
          <w:b/>
          <w:sz w:val="24"/>
        </w:rPr>
        <w:t>四、主要复习内容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1.考试章节及主要知识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第一章 货币资金核算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第二章 应收款项核算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第三章 存货核算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第四章 在建工程和固定资产核算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第五章 投资核算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第六章 无形资产及其他资产核算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.实</w:t>
      </w:r>
      <w:r>
        <w:rPr>
          <w:rFonts w:hint="eastAsia"/>
          <w:sz w:val="24"/>
          <w:lang w:eastAsia="zh-CN"/>
        </w:rPr>
        <w:t>务</w:t>
      </w:r>
      <w:r>
        <w:rPr>
          <w:sz w:val="24"/>
        </w:rPr>
        <w:t>题</w:t>
      </w:r>
    </w:p>
    <w:p>
      <w:pPr>
        <w:spacing w:line="360" w:lineRule="auto"/>
        <w:ind w:firstLine="480"/>
        <w:rPr>
          <w:color w:val="FF0000"/>
          <w:sz w:val="24"/>
        </w:rPr>
      </w:pPr>
      <w:r>
        <w:rPr>
          <w:sz w:val="24"/>
        </w:rPr>
        <w:t>根据经济业务</w:t>
      </w:r>
      <w:r>
        <w:rPr>
          <w:rFonts w:hint="eastAsia"/>
          <w:sz w:val="24"/>
          <w:lang w:eastAsia="zh-CN"/>
        </w:rPr>
        <w:t>编制会计分录、银行存款余额调节表编制和折旧额计算等</w:t>
      </w:r>
      <w:r>
        <w:rPr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各教学班教师根据以上考核内容和学生具体情况，组织好期末复习工作。如有问题，请在期末网上教研活动上沟通或联系：范丽老师（电话：13861106838，邮箱982763153@qq.com）</w:t>
      </w: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  <w:r>
        <w:rPr>
          <w:sz w:val="24"/>
        </w:rPr>
        <w:t>2018年11月6日</w:t>
      </w: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spacing w:line="360" w:lineRule="auto"/>
        <w:ind w:firstLine="480"/>
        <w:jc w:val="right"/>
        <w:rPr>
          <w:sz w:val="24"/>
        </w:rPr>
      </w:pPr>
    </w:p>
    <w:p>
      <w:pPr>
        <w:adjustRightInd w:val="0"/>
        <w:snapToGrid w:val="0"/>
        <w:spacing w:before="312" w:beforeLines="100" w:after="312" w:afterLines="10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《企业财务会计实务》1复习题库编制说明</w:t>
      </w:r>
    </w:p>
    <w:p>
      <w:pPr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sz w:val="28"/>
          <w:szCs w:val="28"/>
        </w:rPr>
        <w:t>《企业财务会计实务》1复习题库是根据江苏城市职业学院五年制高职2017级《企业财务会计实务》1教学要求和2017级会计专业2018-2019学年度第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一学期《企业财务会计实务》1期末复习提纲进行编制的。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其主要内容及题目数量如下(共计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645题)</w:t>
      </w:r>
    </w:p>
    <w:tbl>
      <w:tblPr>
        <w:tblStyle w:val="6"/>
        <w:tblW w:w="918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8"/>
        <w:gridCol w:w="793"/>
        <w:gridCol w:w="861"/>
        <w:gridCol w:w="899"/>
        <w:gridCol w:w="1337"/>
        <w:gridCol w:w="850"/>
        <w:gridCol w:w="99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章节</w:t>
            </w:r>
          </w:p>
        </w:tc>
        <w:tc>
          <w:tcPr>
            <w:tcW w:w="793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单选</w:t>
            </w:r>
          </w:p>
        </w:tc>
        <w:tc>
          <w:tcPr>
            <w:tcW w:w="86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多选</w:t>
            </w:r>
          </w:p>
        </w:tc>
        <w:tc>
          <w:tcPr>
            <w:tcW w:w="899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判断</w:t>
            </w:r>
          </w:p>
        </w:tc>
        <w:tc>
          <w:tcPr>
            <w:tcW w:w="133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不定项选</w:t>
            </w:r>
          </w:p>
        </w:tc>
        <w:tc>
          <w:tcPr>
            <w:tcW w:w="850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实务</w:t>
            </w:r>
          </w:p>
        </w:tc>
        <w:tc>
          <w:tcPr>
            <w:tcW w:w="99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第一章 货币资金核算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kern w:val="0"/>
                <w:sz w:val="28"/>
                <w:szCs w:val="28"/>
              </w:rPr>
              <w:t>85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第二章 应收款项核算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91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第三章 存货核算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第四章 在建工程和固定资产核算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第五章 投资核算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第六章 无形资产及其他资产核算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合计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253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130</w:t>
            </w:r>
          </w:p>
        </w:tc>
        <w:tc>
          <w:tcPr>
            <w:tcW w:w="89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116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121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645</w:t>
            </w:r>
          </w:p>
        </w:tc>
      </w:tr>
    </w:tbl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其主要编写人员为：范丽、周虹、张浩、奚晨娟、杨迎、朱玲娟、胡蕾。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江苏省城市职业学院会计中心组</w:t>
      </w:r>
    </w:p>
    <w:p>
      <w:pPr>
        <w:ind w:right="560"/>
        <w:jc w:val="right"/>
        <w:rPr>
          <w:sz w:val="28"/>
          <w:szCs w:val="28"/>
        </w:rPr>
      </w:pPr>
      <w:r>
        <w:rPr>
          <w:sz w:val="28"/>
          <w:szCs w:val="28"/>
        </w:rPr>
        <w:t>2018年10月16日</w:t>
      </w:r>
    </w:p>
    <w:p>
      <w:pPr>
        <w:spacing w:line="360" w:lineRule="auto"/>
        <w:ind w:firstLine="480"/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50"/>
    <w:rsid w:val="00054D47"/>
    <w:rsid w:val="000620B8"/>
    <w:rsid w:val="000C7563"/>
    <w:rsid w:val="001249F5"/>
    <w:rsid w:val="00160B75"/>
    <w:rsid w:val="00174E18"/>
    <w:rsid w:val="002127F6"/>
    <w:rsid w:val="00215337"/>
    <w:rsid w:val="00243399"/>
    <w:rsid w:val="00295C85"/>
    <w:rsid w:val="00301B27"/>
    <w:rsid w:val="003076FE"/>
    <w:rsid w:val="00330251"/>
    <w:rsid w:val="00345316"/>
    <w:rsid w:val="00371175"/>
    <w:rsid w:val="0039612A"/>
    <w:rsid w:val="003A34CA"/>
    <w:rsid w:val="003B5315"/>
    <w:rsid w:val="003C3A59"/>
    <w:rsid w:val="003D73AF"/>
    <w:rsid w:val="003E4597"/>
    <w:rsid w:val="004364BD"/>
    <w:rsid w:val="00456951"/>
    <w:rsid w:val="004A00D2"/>
    <w:rsid w:val="004A6406"/>
    <w:rsid w:val="004E215E"/>
    <w:rsid w:val="004E2BE2"/>
    <w:rsid w:val="004E4288"/>
    <w:rsid w:val="00514D98"/>
    <w:rsid w:val="00545686"/>
    <w:rsid w:val="00556118"/>
    <w:rsid w:val="005B709C"/>
    <w:rsid w:val="005D7431"/>
    <w:rsid w:val="006740A9"/>
    <w:rsid w:val="006F36F2"/>
    <w:rsid w:val="007022FC"/>
    <w:rsid w:val="007174BE"/>
    <w:rsid w:val="00722892"/>
    <w:rsid w:val="00745F50"/>
    <w:rsid w:val="00750C87"/>
    <w:rsid w:val="0083108A"/>
    <w:rsid w:val="008604B6"/>
    <w:rsid w:val="00867077"/>
    <w:rsid w:val="008A7E12"/>
    <w:rsid w:val="008E0BC1"/>
    <w:rsid w:val="009159B0"/>
    <w:rsid w:val="0092426E"/>
    <w:rsid w:val="009414C8"/>
    <w:rsid w:val="009950A4"/>
    <w:rsid w:val="009E1FB9"/>
    <w:rsid w:val="009E2AA2"/>
    <w:rsid w:val="009F348B"/>
    <w:rsid w:val="00A06F5D"/>
    <w:rsid w:val="00A42EEF"/>
    <w:rsid w:val="00AE6ED6"/>
    <w:rsid w:val="00AF5700"/>
    <w:rsid w:val="00B05739"/>
    <w:rsid w:val="00B15CD9"/>
    <w:rsid w:val="00B1600C"/>
    <w:rsid w:val="00B2120F"/>
    <w:rsid w:val="00B53744"/>
    <w:rsid w:val="00BA5E05"/>
    <w:rsid w:val="00BE0C19"/>
    <w:rsid w:val="00BE4A98"/>
    <w:rsid w:val="00BE6CCB"/>
    <w:rsid w:val="00C15BC1"/>
    <w:rsid w:val="00C47CF9"/>
    <w:rsid w:val="00CB6BDF"/>
    <w:rsid w:val="00CC742B"/>
    <w:rsid w:val="00D000A9"/>
    <w:rsid w:val="00D028AA"/>
    <w:rsid w:val="00D047E4"/>
    <w:rsid w:val="00D4576A"/>
    <w:rsid w:val="00D5261C"/>
    <w:rsid w:val="00D77BB2"/>
    <w:rsid w:val="00DA368F"/>
    <w:rsid w:val="00DB7135"/>
    <w:rsid w:val="00DE1142"/>
    <w:rsid w:val="00DE6010"/>
    <w:rsid w:val="00DF1A8C"/>
    <w:rsid w:val="00DF5A35"/>
    <w:rsid w:val="00E769F0"/>
    <w:rsid w:val="00E96FE3"/>
    <w:rsid w:val="00EB051C"/>
    <w:rsid w:val="00EC0E36"/>
    <w:rsid w:val="00EE39DC"/>
    <w:rsid w:val="00F164FF"/>
    <w:rsid w:val="00F60C13"/>
    <w:rsid w:val="00F637C5"/>
    <w:rsid w:val="00F84087"/>
    <w:rsid w:val="00F91FDF"/>
    <w:rsid w:val="00FB4E46"/>
    <w:rsid w:val="00FB5018"/>
    <w:rsid w:val="00FC5F07"/>
    <w:rsid w:val="00FD71E2"/>
    <w:rsid w:val="061239CA"/>
    <w:rsid w:val="0A3A7F2E"/>
    <w:rsid w:val="14326F47"/>
    <w:rsid w:val="1CB72A2E"/>
    <w:rsid w:val="1E857927"/>
    <w:rsid w:val="20C1733F"/>
    <w:rsid w:val="25B410F3"/>
    <w:rsid w:val="28974688"/>
    <w:rsid w:val="2C5602AD"/>
    <w:rsid w:val="42F20A1B"/>
    <w:rsid w:val="433E6C85"/>
    <w:rsid w:val="4DBB4797"/>
    <w:rsid w:val="547D2BA6"/>
    <w:rsid w:val="5D450935"/>
    <w:rsid w:val="6AF508E8"/>
    <w:rsid w:val="702E1215"/>
    <w:rsid w:val="7C1377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214</Words>
  <Characters>1221</Characters>
  <Lines>10</Lines>
  <Paragraphs>2</Paragraphs>
  <TotalTime>4</TotalTime>
  <ScaleCrop>false</ScaleCrop>
  <LinksUpToDate>false</LinksUpToDate>
  <CharactersWithSpaces>1433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2017-10-28T10:43:00Z</dcterms:created>
  <dc:creator>admin</dc:creator>
  <cp:lastModifiedBy>ıllııllıllııllı</cp:lastModifiedBy>
  <dcterms:modified xsi:type="dcterms:W3CDTF">2018-11-18T14:16:36Z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