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54E" w:rsidRDefault="0037208B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江苏城市职业学院五年制高职</w:t>
      </w:r>
    </w:p>
    <w:p w:rsidR="00A5454E" w:rsidRDefault="0037208B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2017</w:t>
      </w:r>
      <w:r>
        <w:rPr>
          <w:rFonts w:eastAsia="黑体"/>
          <w:sz w:val="28"/>
          <w:szCs w:val="28"/>
        </w:rPr>
        <w:t>级会计专业</w:t>
      </w:r>
      <w:r>
        <w:rPr>
          <w:rFonts w:eastAsia="黑体"/>
          <w:sz w:val="28"/>
          <w:szCs w:val="28"/>
        </w:rPr>
        <w:t>201</w:t>
      </w:r>
      <w:r>
        <w:rPr>
          <w:rFonts w:eastAsia="黑体" w:hint="eastAsia"/>
          <w:sz w:val="28"/>
          <w:szCs w:val="28"/>
        </w:rPr>
        <w:t>8</w:t>
      </w:r>
      <w:r>
        <w:rPr>
          <w:rFonts w:eastAsia="黑体"/>
          <w:sz w:val="28"/>
          <w:szCs w:val="28"/>
        </w:rPr>
        <w:t>-201</w:t>
      </w:r>
      <w:r>
        <w:rPr>
          <w:rFonts w:eastAsia="黑体" w:hint="eastAsia"/>
          <w:sz w:val="28"/>
          <w:szCs w:val="28"/>
        </w:rPr>
        <w:t>9</w:t>
      </w:r>
      <w:r>
        <w:rPr>
          <w:rFonts w:eastAsia="黑体"/>
          <w:sz w:val="28"/>
          <w:szCs w:val="28"/>
        </w:rPr>
        <w:t>学年度第</w:t>
      </w:r>
      <w:r w:rsidR="00690685">
        <w:rPr>
          <w:rFonts w:eastAsia="黑体" w:hint="eastAsia"/>
          <w:sz w:val="28"/>
          <w:szCs w:val="28"/>
        </w:rPr>
        <w:t>二</w:t>
      </w:r>
      <w:r>
        <w:rPr>
          <w:rFonts w:eastAsia="黑体"/>
          <w:sz w:val="28"/>
          <w:szCs w:val="28"/>
        </w:rPr>
        <w:t>学期</w:t>
      </w:r>
    </w:p>
    <w:p w:rsidR="00A5454E" w:rsidRDefault="0037208B">
      <w:pPr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《企业财务会计实务</w:t>
      </w:r>
      <w:r w:rsidR="00690685">
        <w:rPr>
          <w:rFonts w:eastAsia="黑体" w:hint="eastAsia"/>
          <w:sz w:val="28"/>
          <w:szCs w:val="28"/>
        </w:rPr>
        <w:t>2</w:t>
      </w:r>
      <w:r>
        <w:rPr>
          <w:rFonts w:eastAsia="黑体"/>
          <w:sz w:val="28"/>
          <w:szCs w:val="28"/>
        </w:rPr>
        <w:t>》期末复习提纲</w:t>
      </w:r>
    </w:p>
    <w:p w:rsidR="00A5454E" w:rsidRDefault="0037208B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一、复习依据</w:t>
      </w:r>
    </w:p>
    <w:p w:rsidR="00A5454E" w:rsidRDefault="0037208B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《企业财务会计实务</w:t>
      </w:r>
      <w:r w:rsidR="00690685">
        <w:rPr>
          <w:rFonts w:hint="eastAsia"/>
          <w:sz w:val="24"/>
        </w:rPr>
        <w:t>2</w:t>
      </w:r>
      <w:r>
        <w:rPr>
          <w:sz w:val="24"/>
        </w:rPr>
        <w:t>》课程以《企业财务会计</w:t>
      </w:r>
      <w:r>
        <w:rPr>
          <w:sz w:val="24"/>
        </w:rPr>
        <w:t>(</w:t>
      </w:r>
      <w:r>
        <w:rPr>
          <w:sz w:val="24"/>
        </w:rPr>
        <w:t>第三版</w:t>
      </w:r>
      <w:r>
        <w:rPr>
          <w:sz w:val="24"/>
        </w:rPr>
        <w:t>)</w:t>
      </w:r>
      <w:r>
        <w:rPr>
          <w:sz w:val="24"/>
        </w:rPr>
        <w:t>》（高等教育出版社出版，孔德兰主编）是课程教学的主要媒体和基本依据。配套教材《企业财务会计实训》（高等教育出版社出版，孔德兰主编）是课程实践教学的主要资源。会计实训教材以各校的校本教材为基础，进行会计凭证、会计账簿和会计报表的编制的综合项目实训为依据。紧扣《江苏城市职业学院五年制高职</w:t>
      </w:r>
      <w:r>
        <w:rPr>
          <w:sz w:val="24"/>
        </w:rPr>
        <w:t>&lt;</w:t>
      </w:r>
      <w:r>
        <w:rPr>
          <w:sz w:val="24"/>
        </w:rPr>
        <w:t>企业财务会计实务</w:t>
      </w:r>
      <w:r>
        <w:rPr>
          <w:sz w:val="24"/>
        </w:rPr>
        <w:t>&gt;</w:t>
      </w:r>
      <w:r w:rsidR="00690685">
        <w:rPr>
          <w:rFonts w:hint="eastAsia"/>
          <w:sz w:val="24"/>
        </w:rPr>
        <w:t>2</w:t>
      </w:r>
      <w:r>
        <w:rPr>
          <w:sz w:val="24"/>
        </w:rPr>
        <w:t>课程教学要求》进行复习。</w:t>
      </w:r>
    </w:p>
    <w:p w:rsidR="00A5454E" w:rsidRDefault="0037208B">
      <w:pPr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>《企业财务会计实务</w:t>
      </w:r>
      <w:r w:rsidR="00690685">
        <w:rPr>
          <w:rFonts w:hint="eastAsia"/>
          <w:sz w:val="24"/>
        </w:rPr>
        <w:t>2</w:t>
      </w:r>
      <w:r>
        <w:rPr>
          <w:sz w:val="24"/>
        </w:rPr>
        <w:t>》复习题库是根据江苏城市职业学院五年制高职</w:t>
      </w:r>
      <w:r>
        <w:rPr>
          <w:sz w:val="24"/>
        </w:rPr>
        <w:t>2017</w:t>
      </w:r>
      <w:r>
        <w:rPr>
          <w:sz w:val="24"/>
        </w:rPr>
        <w:t>级《企业财务会计实务</w:t>
      </w:r>
      <w:r w:rsidR="00690685">
        <w:rPr>
          <w:rFonts w:hint="eastAsia"/>
          <w:sz w:val="24"/>
        </w:rPr>
        <w:t>2</w:t>
      </w:r>
      <w:r>
        <w:rPr>
          <w:sz w:val="24"/>
        </w:rPr>
        <w:t>》教学要求和</w:t>
      </w:r>
      <w:r>
        <w:rPr>
          <w:sz w:val="24"/>
        </w:rPr>
        <w:t>2017</w:t>
      </w:r>
      <w:r>
        <w:rPr>
          <w:sz w:val="24"/>
        </w:rPr>
        <w:t>级会计专业</w:t>
      </w:r>
      <w:r>
        <w:rPr>
          <w:sz w:val="24"/>
        </w:rPr>
        <w:t>2018-2019</w:t>
      </w:r>
      <w:r>
        <w:rPr>
          <w:sz w:val="24"/>
        </w:rPr>
        <w:t>学年度第</w:t>
      </w:r>
      <w:r w:rsidR="00690685">
        <w:rPr>
          <w:rFonts w:hint="eastAsia"/>
          <w:sz w:val="24"/>
        </w:rPr>
        <w:t>二</w:t>
      </w:r>
      <w:r>
        <w:rPr>
          <w:sz w:val="24"/>
        </w:rPr>
        <w:t>学期《企业财务会计实务</w:t>
      </w:r>
      <w:r w:rsidR="00690685">
        <w:rPr>
          <w:rFonts w:hint="eastAsia"/>
          <w:sz w:val="24"/>
        </w:rPr>
        <w:t>2</w:t>
      </w:r>
      <w:r>
        <w:rPr>
          <w:sz w:val="24"/>
        </w:rPr>
        <w:t>》期末复习提纲进行编制（题库另附）。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b/>
          <w:sz w:val="24"/>
        </w:rPr>
        <w:t>二、考试题型及分值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1.</w:t>
      </w:r>
      <w:r>
        <w:rPr>
          <w:sz w:val="24"/>
        </w:rPr>
        <w:t>单项选择题（</w:t>
      </w:r>
      <w:r>
        <w:rPr>
          <w:rFonts w:hint="eastAsia"/>
          <w:sz w:val="24"/>
        </w:rPr>
        <w:t>1</w:t>
      </w:r>
      <w:r w:rsidR="00456E07">
        <w:rPr>
          <w:rFonts w:hint="eastAsia"/>
          <w:sz w:val="24"/>
        </w:rPr>
        <w:t>5</w:t>
      </w:r>
      <w:r>
        <w:rPr>
          <w:sz w:val="24"/>
        </w:rPr>
        <w:t>分，每小题</w:t>
      </w:r>
      <w:r>
        <w:rPr>
          <w:sz w:val="24"/>
        </w:rPr>
        <w:t>1</w:t>
      </w:r>
      <w:r>
        <w:rPr>
          <w:sz w:val="24"/>
        </w:rPr>
        <w:t>分。在每小题的</w:t>
      </w:r>
      <w:r>
        <w:rPr>
          <w:sz w:val="24"/>
        </w:rPr>
        <w:t>4</w:t>
      </w:r>
      <w:r>
        <w:rPr>
          <w:sz w:val="24"/>
        </w:rPr>
        <w:t>个备选答案中，选出</w:t>
      </w:r>
      <w:r>
        <w:rPr>
          <w:sz w:val="24"/>
        </w:rPr>
        <w:t>1</w:t>
      </w:r>
      <w:r>
        <w:rPr>
          <w:sz w:val="24"/>
        </w:rPr>
        <w:t>个正确的答案）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2.</w:t>
      </w:r>
      <w:r>
        <w:rPr>
          <w:sz w:val="24"/>
        </w:rPr>
        <w:t>多项选择题（</w:t>
      </w:r>
      <w:r>
        <w:rPr>
          <w:rFonts w:hint="eastAsia"/>
          <w:sz w:val="24"/>
        </w:rPr>
        <w:t>2</w:t>
      </w:r>
      <w:r>
        <w:rPr>
          <w:sz w:val="24"/>
        </w:rPr>
        <w:t>0</w:t>
      </w:r>
      <w:r>
        <w:rPr>
          <w:sz w:val="24"/>
        </w:rPr>
        <w:t>分，每小题</w:t>
      </w:r>
      <w:r>
        <w:rPr>
          <w:sz w:val="24"/>
        </w:rPr>
        <w:t>2</w:t>
      </w:r>
      <w:r>
        <w:rPr>
          <w:sz w:val="24"/>
        </w:rPr>
        <w:t>分。在每小题的</w:t>
      </w:r>
      <w:r>
        <w:rPr>
          <w:sz w:val="24"/>
        </w:rPr>
        <w:t>4</w:t>
      </w:r>
      <w:r>
        <w:rPr>
          <w:sz w:val="24"/>
        </w:rPr>
        <w:t>个备选答案中，选出</w:t>
      </w:r>
      <w:r>
        <w:rPr>
          <w:sz w:val="24"/>
        </w:rPr>
        <w:t>2</w:t>
      </w:r>
      <w:r>
        <w:rPr>
          <w:sz w:val="24"/>
        </w:rPr>
        <w:t>个或</w:t>
      </w:r>
      <w:r>
        <w:rPr>
          <w:sz w:val="24"/>
        </w:rPr>
        <w:t>2</w:t>
      </w:r>
      <w:r>
        <w:rPr>
          <w:sz w:val="24"/>
        </w:rPr>
        <w:t>个以上正确的答案。多选、错选、漏选均不得分）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3.</w:t>
      </w:r>
      <w:r>
        <w:rPr>
          <w:sz w:val="24"/>
        </w:rPr>
        <w:t>判断题（</w:t>
      </w:r>
      <w:r>
        <w:rPr>
          <w:sz w:val="24"/>
        </w:rPr>
        <w:t>10</w:t>
      </w:r>
      <w:r>
        <w:rPr>
          <w:sz w:val="24"/>
        </w:rPr>
        <w:t>分，每小题</w:t>
      </w:r>
      <w:r>
        <w:rPr>
          <w:sz w:val="24"/>
        </w:rPr>
        <w:t>1</w:t>
      </w:r>
      <w:r>
        <w:rPr>
          <w:sz w:val="24"/>
        </w:rPr>
        <w:t>分。你认为正确的打</w:t>
      </w:r>
      <w:r>
        <w:rPr>
          <w:sz w:val="24"/>
        </w:rPr>
        <w:t>“√”</w:t>
      </w:r>
      <w:r>
        <w:rPr>
          <w:sz w:val="24"/>
        </w:rPr>
        <w:t>，错误的打</w:t>
      </w:r>
      <w:r>
        <w:rPr>
          <w:sz w:val="24"/>
        </w:rPr>
        <w:t>“×”</w:t>
      </w:r>
      <w:r>
        <w:rPr>
          <w:sz w:val="24"/>
        </w:rPr>
        <w:t>）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4.</w:t>
      </w:r>
      <w:r>
        <w:rPr>
          <w:sz w:val="24"/>
        </w:rPr>
        <w:t>不定项选择题（</w:t>
      </w:r>
      <w:r w:rsidR="00456E07">
        <w:rPr>
          <w:rFonts w:hint="eastAsia"/>
          <w:sz w:val="24"/>
        </w:rPr>
        <w:t>5</w:t>
      </w:r>
      <w:r>
        <w:rPr>
          <w:sz w:val="24"/>
        </w:rPr>
        <w:t>分</w:t>
      </w:r>
      <w:r>
        <w:rPr>
          <w:rFonts w:hint="eastAsia"/>
          <w:sz w:val="24"/>
        </w:rPr>
        <w:t>，</w:t>
      </w:r>
      <w:r>
        <w:rPr>
          <w:sz w:val="24"/>
        </w:rPr>
        <w:t>每小题</w:t>
      </w:r>
      <w:r w:rsidR="00456E07">
        <w:rPr>
          <w:rFonts w:hint="eastAsia"/>
          <w:sz w:val="24"/>
        </w:rPr>
        <w:t>1</w:t>
      </w:r>
      <w:bookmarkStart w:id="0" w:name="_GoBack"/>
      <w:bookmarkEnd w:id="0"/>
      <w:r>
        <w:rPr>
          <w:sz w:val="24"/>
        </w:rPr>
        <w:t>分。</w:t>
      </w:r>
      <w:r>
        <w:rPr>
          <w:sz w:val="24"/>
          <w:lang w:val="zh-CN"/>
        </w:rPr>
        <w:t>每题至少有一个正确选项</w:t>
      </w:r>
      <w:r>
        <w:rPr>
          <w:sz w:val="24"/>
        </w:rPr>
        <w:t>）</w:t>
      </w:r>
    </w:p>
    <w:p w:rsidR="00A5454E" w:rsidRDefault="0037208B">
      <w:pPr>
        <w:spacing w:line="360" w:lineRule="auto"/>
        <w:ind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实务</w:t>
      </w:r>
      <w:r>
        <w:rPr>
          <w:color w:val="000000" w:themeColor="text1"/>
          <w:sz w:val="24"/>
        </w:rPr>
        <w:t>题（</w:t>
      </w:r>
      <w:r>
        <w:rPr>
          <w:rFonts w:hint="eastAsia"/>
          <w:color w:val="000000" w:themeColor="text1"/>
          <w:sz w:val="24"/>
        </w:rPr>
        <w:t>50</w:t>
      </w:r>
      <w:r>
        <w:rPr>
          <w:rFonts w:hint="eastAsia"/>
          <w:color w:val="000000" w:themeColor="text1"/>
          <w:sz w:val="24"/>
        </w:rPr>
        <w:t>分</w:t>
      </w:r>
      <w:r>
        <w:rPr>
          <w:color w:val="000000" w:themeColor="text1"/>
          <w:sz w:val="24"/>
        </w:rPr>
        <w:t>）</w:t>
      </w:r>
    </w:p>
    <w:p w:rsidR="00A5454E" w:rsidRDefault="0037208B">
      <w:pPr>
        <w:spacing w:line="360" w:lineRule="auto"/>
        <w:ind w:firstLine="480"/>
        <w:rPr>
          <w:b/>
          <w:sz w:val="24"/>
        </w:rPr>
      </w:pPr>
      <w:r>
        <w:rPr>
          <w:b/>
          <w:sz w:val="24"/>
        </w:rPr>
        <w:t>三、考试形式及时间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考试形式：闭卷笔试。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考试时间：</w:t>
      </w:r>
      <w:r>
        <w:rPr>
          <w:color w:val="FF0000"/>
          <w:sz w:val="24"/>
        </w:rPr>
        <w:t>90</w:t>
      </w:r>
      <w:r>
        <w:rPr>
          <w:sz w:val="24"/>
        </w:rPr>
        <w:t>分钟</w:t>
      </w:r>
    </w:p>
    <w:p w:rsidR="00A5454E" w:rsidRDefault="0037208B">
      <w:pPr>
        <w:spacing w:line="360" w:lineRule="auto"/>
        <w:ind w:firstLine="480"/>
        <w:rPr>
          <w:b/>
          <w:sz w:val="24"/>
        </w:rPr>
      </w:pPr>
      <w:r>
        <w:rPr>
          <w:b/>
          <w:sz w:val="24"/>
        </w:rPr>
        <w:t>四、主要复习内容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1.</w:t>
      </w:r>
      <w:r>
        <w:rPr>
          <w:sz w:val="24"/>
        </w:rPr>
        <w:t>考试章节及主要知识</w:t>
      </w:r>
    </w:p>
    <w:p w:rsidR="00690685" w:rsidRPr="00690685" w:rsidRDefault="0037208B" w:rsidP="00690685">
      <w:pPr>
        <w:spacing w:line="360" w:lineRule="auto"/>
        <w:ind w:firstLine="480"/>
        <w:rPr>
          <w:sz w:val="24"/>
        </w:rPr>
      </w:pPr>
      <w:r>
        <w:rPr>
          <w:sz w:val="24"/>
        </w:rPr>
        <w:t>第</w:t>
      </w:r>
      <w:r w:rsidR="00690685">
        <w:rPr>
          <w:rFonts w:hint="eastAsia"/>
          <w:sz w:val="24"/>
        </w:rPr>
        <w:t>七</w:t>
      </w:r>
      <w:r>
        <w:rPr>
          <w:sz w:val="24"/>
        </w:rPr>
        <w:t>章</w:t>
      </w:r>
      <w:r w:rsidR="00690685">
        <w:rPr>
          <w:rFonts w:hint="eastAsia"/>
          <w:sz w:val="24"/>
        </w:rPr>
        <w:t xml:space="preserve"> </w:t>
      </w:r>
      <w:r w:rsidR="00690685" w:rsidRPr="00690685">
        <w:rPr>
          <w:rFonts w:hint="eastAsia"/>
          <w:sz w:val="24"/>
        </w:rPr>
        <w:t>流动负债核算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第</w:t>
      </w:r>
      <w:r w:rsidR="00690685">
        <w:rPr>
          <w:rFonts w:hint="eastAsia"/>
          <w:sz w:val="24"/>
        </w:rPr>
        <w:t>八</w:t>
      </w:r>
      <w:r>
        <w:rPr>
          <w:sz w:val="24"/>
        </w:rPr>
        <w:t>章</w:t>
      </w:r>
      <w:r w:rsidR="00690685">
        <w:rPr>
          <w:rFonts w:hint="eastAsia"/>
          <w:sz w:val="24"/>
        </w:rPr>
        <w:t xml:space="preserve"> </w:t>
      </w:r>
      <w:r w:rsidR="00690685" w:rsidRPr="00690685">
        <w:rPr>
          <w:rFonts w:hint="eastAsia"/>
          <w:sz w:val="24"/>
        </w:rPr>
        <w:t>非流动负债核算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lastRenderedPageBreak/>
        <w:t>第</w:t>
      </w:r>
      <w:r w:rsidR="00690685">
        <w:rPr>
          <w:rFonts w:hint="eastAsia"/>
          <w:sz w:val="24"/>
        </w:rPr>
        <w:t>九</w:t>
      </w:r>
      <w:r>
        <w:rPr>
          <w:sz w:val="24"/>
        </w:rPr>
        <w:t>章</w:t>
      </w:r>
      <w:r w:rsidR="00690685">
        <w:rPr>
          <w:rFonts w:hint="eastAsia"/>
          <w:sz w:val="24"/>
        </w:rPr>
        <w:t xml:space="preserve"> </w:t>
      </w:r>
      <w:r w:rsidR="00690685" w:rsidRPr="00690685">
        <w:rPr>
          <w:rFonts w:hint="eastAsia"/>
          <w:sz w:val="24"/>
        </w:rPr>
        <w:t>所有者权益核算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第</w:t>
      </w:r>
      <w:r w:rsidR="00690685">
        <w:rPr>
          <w:rFonts w:hint="eastAsia"/>
          <w:sz w:val="24"/>
        </w:rPr>
        <w:t>十</w:t>
      </w:r>
      <w:r>
        <w:rPr>
          <w:sz w:val="24"/>
        </w:rPr>
        <w:t>章</w:t>
      </w:r>
      <w:r w:rsidR="00690685">
        <w:rPr>
          <w:rFonts w:hint="eastAsia"/>
          <w:sz w:val="24"/>
        </w:rPr>
        <w:t xml:space="preserve"> </w:t>
      </w:r>
      <w:r w:rsidR="00690685" w:rsidRPr="00690685">
        <w:rPr>
          <w:rFonts w:hint="eastAsia"/>
          <w:sz w:val="24"/>
        </w:rPr>
        <w:t>收入费用业务核算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第</w:t>
      </w:r>
      <w:r w:rsidR="00690685">
        <w:rPr>
          <w:rFonts w:hint="eastAsia"/>
          <w:sz w:val="24"/>
        </w:rPr>
        <w:t>十一</w:t>
      </w:r>
      <w:r>
        <w:rPr>
          <w:sz w:val="24"/>
        </w:rPr>
        <w:t>章</w:t>
      </w:r>
      <w:r w:rsidR="00690685">
        <w:rPr>
          <w:rFonts w:hint="eastAsia"/>
          <w:sz w:val="24"/>
        </w:rPr>
        <w:t xml:space="preserve"> </w:t>
      </w:r>
      <w:r w:rsidR="00690685" w:rsidRPr="00690685">
        <w:rPr>
          <w:rFonts w:hint="eastAsia"/>
          <w:sz w:val="24"/>
        </w:rPr>
        <w:t>利润业务核算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第</w:t>
      </w:r>
      <w:r w:rsidR="00690685">
        <w:rPr>
          <w:rFonts w:hint="eastAsia"/>
          <w:sz w:val="24"/>
        </w:rPr>
        <w:t>十二</w:t>
      </w:r>
      <w:r>
        <w:rPr>
          <w:sz w:val="24"/>
        </w:rPr>
        <w:t>章</w:t>
      </w:r>
      <w:r w:rsidR="00690685">
        <w:rPr>
          <w:rFonts w:hint="eastAsia"/>
          <w:sz w:val="24"/>
        </w:rPr>
        <w:t xml:space="preserve"> </w:t>
      </w:r>
      <w:r w:rsidR="00690685" w:rsidRPr="00690685">
        <w:rPr>
          <w:rFonts w:hint="eastAsia"/>
          <w:sz w:val="24"/>
        </w:rPr>
        <w:t>财务会计报告编制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sz w:val="24"/>
        </w:rPr>
        <w:t>实</w:t>
      </w:r>
      <w:r>
        <w:rPr>
          <w:rFonts w:hint="eastAsia"/>
          <w:sz w:val="24"/>
        </w:rPr>
        <w:t>务</w:t>
      </w:r>
      <w:r>
        <w:rPr>
          <w:sz w:val="24"/>
        </w:rPr>
        <w:t>题</w:t>
      </w:r>
    </w:p>
    <w:p w:rsidR="00A5454E" w:rsidRDefault="0037208B">
      <w:pPr>
        <w:spacing w:line="360" w:lineRule="auto"/>
        <w:ind w:firstLine="480"/>
        <w:rPr>
          <w:color w:val="FF0000"/>
          <w:sz w:val="24"/>
        </w:rPr>
      </w:pPr>
      <w:r>
        <w:rPr>
          <w:sz w:val="24"/>
        </w:rPr>
        <w:t>根据经济业务</w:t>
      </w:r>
      <w:r>
        <w:rPr>
          <w:rFonts w:hint="eastAsia"/>
          <w:sz w:val="24"/>
        </w:rPr>
        <w:t>编制会计分录</w:t>
      </w:r>
      <w:r w:rsidR="00690685">
        <w:rPr>
          <w:rFonts w:hint="eastAsia"/>
          <w:sz w:val="24"/>
        </w:rPr>
        <w:t>和</w:t>
      </w:r>
      <w:r w:rsidR="00690685" w:rsidRPr="00690685">
        <w:rPr>
          <w:rFonts w:hint="eastAsia"/>
          <w:sz w:val="24"/>
        </w:rPr>
        <w:t>财务会计报告编制</w:t>
      </w:r>
      <w:r>
        <w:rPr>
          <w:sz w:val="24"/>
        </w:rPr>
        <w:t>。</w:t>
      </w:r>
    </w:p>
    <w:p w:rsidR="00A5454E" w:rsidRDefault="0037208B">
      <w:pPr>
        <w:spacing w:line="360" w:lineRule="auto"/>
        <w:ind w:firstLine="480"/>
        <w:rPr>
          <w:sz w:val="24"/>
        </w:rPr>
      </w:pPr>
      <w:r>
        <w:rPr>
          <w:sz w:val="24"/>
        </w:rPr>
        <w:t>各教学</w:t>
      </w:r>
      <w:proofErr w:type="gramStart"/>
      <w:r>
        <w:rPr>
          <w:sz w:val="24"/>
        </w:rPr>
        <w:t>班教师</w:t>
      </w:r>
      <w:proofErr w:type="gramEnd"/>
      <w:r>
        <w:rPr>
          <w:sz w:val="24"/>
        </w:rPr>
        <w:t>根据以上考核内容和学生具体情况，组织好期末复习工作。如有问题，请在期末网上教研活动上沟通或联系：范丽老师（电话：</w:t>
      </w:r>
      <w:r>
        <w:rPr>
          <w:sz w:val="24"/>
        </w:rPr>
        <w:t>13861106838</w:t>
      </w:r>
      <w:r>
        <w:rPr>
          <w:sz w:val="24"/>
        </w:rPr>
        <w:t>，邮箱</w:t>
      </w:r>
      <w:r>
        <w:rPr>
          <w:sz w:val="24"/>
        </w:rPr>
        <w:t>982763153@qq.com</w:t>
      </w:r>
      <w:r>
        <w:rPr>
          <w:sz w:val="24"/>
        </w:rPr>
        <w:t>）</w:t>
      </w:r>
    </w:p>
    <w:p w:rsidR="00A5454E" w:rsidRDefault="00A5454E">
      <w:pPr>
        <w:spacing w:line="360" w:lineRule="auto"/>
        <w:ind w:firstLine="480"/>
        <w:rPr>
          <w:sz w:val="24"/>
        </w:rPr>
      </w:pPr>
    </w:p>
    <w:p w:rsidR="00A5454E" w:rsidRDefault="0037208B">
      <w:pPr>
        <w:spacing w:line="360" w:lineRule="auto"/>
        <w:ind w:firstLine="480"/>
        <w:jc w:val="right"/>
        <w:rPr>
          <w:sz w:val="24"/>
        </w:rPr>
      </w:pPr>
      <w:r>
        <w:rPr>
          <w:sz w:val="24"/>
        </w:rPr>
        <w:t>201</w:t>
      </w:r>
      <w:r w:rsidR="00690685">
        <w:rPr>
          <w:rFonts w:hint="eastAsia"/>
          <w:sz w:val="24"/>
        </w:rPr>
        <w:t>9</w:t>
      </w:r>
      <w:r>
        <w:rPr>
          <w:sz w:val="24"/>
        </w:rPr>
        <w:t>年</w:t>
      </w:r>
      <w:r w:rsidR="00690685">
        <w:rPr>
          <w:rFonts w:hint="eastAsia"/>
          <w:sz w:val="24"/>
        </w:rPr>
        <w:t>5</w:t>
      </w:r>
      <w:r>
        <w:rPr>
          <w:sz w:val="24"/>
        </w:rPr>
        <w:t>月</w:t>
      </w:r>
      <w:r>
        <w:rPr>
          <w:sz w:val="24"/>
        </w:rPr>
        <w:t>6</w:t>
      </w:r>
      <w:r>
        <w:rPr>
          <w:sz w:val="24"/>
        </w:rPr>
        <w:t>日</w:t>
      </w: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right"/>
        <w:rPr>
          <w:sz w:val="24"/>
        </w:rPr>
      </w:pPr>
    </w:p>
    <w:p w:rsidR="00A5454E" w:rsidRDefault="00A5454E">
      <w:pPr>
        <w:spacing w:line="360" w:lineRule="auto"/>
        <w:ind w:firstLine="480"/>
        <w:jc w:val="left"/>
        <w:rPr>
          <w:sz w:val="24"/>
        </w:rPr>
      </w:pPr>
    </w:p>
    <w:sectPr w:rsidR="00A545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4D9" w:rsidRDefault="005F64D9" w:rsidP="00C33590">
      <w:r>
        <w:separator/>
      </w:r>
    </w:p>
  </w:endnote>
  <w:endnote w:type="continuationSeparator" w:id="0">
    <w:p w:rsidR="005F64D9" w:rsidRDefault="005F64D9" w:rsidP="00C3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4D9" w:rsidRDefault="005F64D9" w:rsidP="00C33590">
      <w:r>
        <w:separator/>
      </w:r>
    </w:p>
  </w:footnote>
  <w:footnote w:type="continuationSeparator" w:id="0">
    <w:p w:rsidR="005F64D9" w:rsidRDefault="005F64D9" w:rsidP="00C33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50"/>
    <w:rsid w:val="00054D47"/>
    <w:rsid w:val="000620B8"/>
    <w:rsid w:val="000C7563"/>
    <w:rsid w:val="001249F5"/>
    <w:rsid w:val="00160B75"/>
    <w:rsid w:val="00174E18"/>
    <w:rsid w:val="00176852"/>
    <w:rsid w:val="002127F6"/>
    <w:rsid w:val="00215337"/>
    <w:rsid w:val="00243399"/>
    <w:rsid w:val="00295C85"/>
    <w:rsid w:val="00301B27"/>
    <w:rsid w:val="003037FA"/>
    <w:rsid w:val="003076FE"/>
    <w:rsid w:val="00330251"/>
    <w:rsid w:val="00345316"/>
    <w:rsid w:val="00371175"/>
    <w:rsid w:val="0037208B"/>
    <w:rsid w:val="0039612A"/>
    <w:rsid w:val="003A34CA"/>
    <w:rsid w:val="003B5315"/>
    <w:rsid w:val="003C3A59"/>
    <w:rsid w:val="003D73AF"/>
    <w:rsid w:val="003E4597"/>
    <w:rsid w:val="004364BD"/>
    <w:rsid w:val="00456951"/>
    <w:rsid w:val="00456E07"/>
    <w:rsid w:val="004A00D2"/>
    <w:rsid w:val="004A6406"/>
    <w:rsid w:val="004E215E"/>
    <w:rsid w:val="004E2BE2"/>
    <w:rsid w:val="004E4288"/>
    <w:rsid w:val="00514D98"/>
    <w:rsid w:val="00545686"/>
    <w:rsid w:val="00556118"/>
    <w:rsid w:val="005B709C"/>
    <w:rsid w:val="005D7431"/>
    <w:rsid w:val="005F64D9"/>
    <w:rsid w:val="006740A9"/>
    <w:rsid w:val="00690685"/>
    <w:rsid w:val="006F36F2"/>
    <w:rsid w:val="007022FC"/>
    <w:rsid w:val="007174BE"/>
    <w:rsid w:val="00722892"/>
    <w:rsid w:val="00745F50"/>
    <w:rsid w:val="00750C87"/>
    <w:rsid w:val="0083108A"/>
    <w:rsid w:val="008604B6"/>
    <w:rsid w:val="00867077"/>
    <w:rsid w:val="008A7E12"/>
    <w:rsid w:val="008E0BC1"/>
    <w:rsid w:val="009159B0"/>
    <w:rsid w:val="0092426E"/>
    <w:rsid w:val="009414C8"/>
    <w:rsid w:val="009950A4"/>
    <w:rsid w:val="009E1FB9"/>
    <w:rsid w:val="009E2AA2"/>
    <w:rsid w:val="009F348B"/>
    <w:rsid w:val="00A06F5D"/>
    <w:rsid w:val="00A42EEF"/>
    <w:rsid w:val="00A5454E"/>
    <w:rsid w:val="00AE6ED6"/>
    <w:rsid w:val="00AF5700"/>
    <w:rsid w:val="00B05739"/>
    <w:rsid w:val="00B15CD9"/>
    <w:rsid w:val="00B1600C"/>
    <w:rsid w:val="00B2120F"/>
    <w:rsid w:val="00B53744"/>
    <w:rsid w:val="00BA5E05"/>
    <w:rsid w:val="00BE0C19"/>
    <w:rsid w:val="00BE4A98"/>
    <w:rsid w:val="00BE6CCB"/>
    <w:rsid w:val="00C15BC1"/>
    <w:rsid w:val="00C33590"/>
    <w:rsid w:val="00C47CF9"/>
    <w:rsid w:val="00CB6BDF"/>
    <w:rsid w:val="00CC742B"/>
    <w:rsid w:val="00D000A9"/>
    <w:rsid w:val="00D028AA"/>
    <w:rsid w:val="00D047E4"/>
    <w:rsid w:val="00D4576A"/>
    <w:rsid w:val="00D5261C"/>
    <w:rsid w:val="00D77BB2"/>
    <w:rsid w:val="00DA368F"/>
    <w:rsid w:val="00DB7135"/>
    <w:rsid w:val="00DE1142"/>
    <w:rsid w:val="00DE6010"/>
    <w:rsid w:val="00DF1A8C"/>
    <w:rsid w:val="00DF5A35"/>
    <w:rsid w:val="00E769F0"/>
    <w:rsid w:val="00E96FE3"/>
    <w:rsid w:val="00EB051C"/>
    <w:rsid w:val="00EC0E36"/>
    <w:rsid w:val="00EE39DC"/>
    <w:rsid w:val="00F164FF"/>
    <w:rsid w:val="00F60C13"/>
    <w:rsid w:val="00F637C5"/>
    <w:rsid w:val="00F84087"/>
    <w:rsid w:val="00F91FDF"/>
    <w:rsid w:val="00FB4E46"/>
    <w:rsid w:val="00FB5018"/>
    <w:rsid w:val="00FC5F07"/>
    <w:rsid w:val="00FD71E2"/>
    <w:rsid w:val="061239CA"/>
    <w:rsid w:val="0A3A7F2E"/>
    <w:rsid w:val="14326F47"/>
    <w:rsid w:val="1CB72A2E"/>
    <w:rsid w:val="1E857927"/>
    <w:rsid w:val="20C1733F"/>
    <w:rsid w:val="25B410F3"/>
    <w:rsid w:val="28974688"/>
    <w:rsid w:val="2C5602AD"/>
    <w:rsid w:val="42F20A1B"/>
    <w:rsid w:val="433E6C85"/>
    <w:rsid w:val="4DBB4797"/>
    <w:rsid w:val="547D2BA6"/>
    <w:rsid w:val="5D450935"/>
    <w:rsid w:val="6AF508E8"/>
    <w:rsid w:val="702E1215"/>
    <w:rsid w:val="7C1377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124</Words>
  <Characters>707</Characters>
  <Application>Microsoft Office Word</Application>
  <DocSecurity>0</DocSecurity>
  <Lines>5</Lines>
  <Paragraphs>1</Paragraphs>
  <ScaleCrop>false</ScaleCrop>
  <Company>China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AutoBVT</cp:lastModifiedBy>
  <cp:revision>6</cp:revision>
  <dcterms:created xsi:type="dcterms:W3CDTF">2019-05-16T02:09:00Z</dcterms:created>
  <dcterms:modified xsi:type="dcterms:W3CDTF">2019-05-16T03:03:00Z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